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w:t>
      </w:r>
      <w:r>
        <w:rPr>
          <w:rFonts w:ascii="黑体" w:hAnsi="黑体" w:eastAsia="黑体" w:cs="仿宋_GB2312"/>
          <w:color w:val="000000"/>
          <w:sz w:val="32"/>
          <w:szCs w:val="32"/>
        </w:rPr>
        <w:t xml:space="preserve">1 </w:t>
      </w:r>
    </w:p>
    <w:p>
      <w:pPr>
        <w:spacing w:line="600" w:lineRule="exact"/>
        <w:ind w:left="248" w:right="-624" w:rightChars="-297" w:hanging="248" w:hangingChars="100"/>
        <w:jc w:val="center"/>
        <w:rPr>
          <w:rFonts w:ascii="黑体" w:hAnsi="黑体" w:eastAsia="黑体" w:cs="黑体"/>
          <w:color w:val="000000"/>
          <w:spacing w:val="-16"/>
          <w:sz w:val="28"/>
          <w:szCs w:val="28"/>
        </w:rPr>
      </w:pPr>
      <w:r>
        <w:rPr>
          <w:rFonts w:hint="eastAsia" w:ascii="黑体" w:hAnsi="黑体" w:eastAsia="黑体" w:cs="黑体"/>
          <w:color w:val="000000"/>
          <w:spacing w:val="-16"/>
          <w:sz w:val="28"/>
          <w:szCs w:val="28"/>
        </w:rPr>
        <w:t>武汉生物工程学院</w:t>
      </w:r>
      <w:r>
        <w:rPr>
          <w:rFonts w:ascii="黑体" w:hAnsi="黑体" w:eastAsia="黑体" w:cs="黑体"/>
          <w:color w:val="000000"/>
          <w:spacing w:val="-16"/>
          <w:sz w:val="28"/>
          <w:szCs w:val="28"/>
        </w:rPr>
        <w:t>2021</w:t>
      </w:r>
      <w:r>
        <w:rPr>
          <w:rFonts w:hint="eastAsia" w:ascii="黑体" w:hAnsi="黑体" w:eastAsia="黑体" w:cs="黑体"/>
          <w:color w:val="000000"/>
          <w:spacing w:val="-16"/>
          <w:sz w:val="28"/>
          <w:szCs w:val="28"/>
        </w:rPr>
        <w:t>年普通专升本招生专业对高职（专科）专业报考范围要求</w:t>
      </w:r>
    </w:p>
    <w:tbl>
      <w:tblPr>
        <w:tblStyle w:val="3"/>
        <w:tblW w:w="9359" w:type="dxa"/>
        <w:tblInd w:w="2" w:type="dxa"/>
        <w:tblLayout w:type="fixed"/>
        <w:tblCellMar>
          <w:top w:w="0" w:type="dxa"/>
          <w:left w:w="0" w:type="dxa"/>
          <w:bottom w:w="0" w:type="dxa"/>
          <w:right w:w="0" w:type="dxa"/>
        </w:tblCellMar>
      </w:tblPr>
      <w:tblGrid>
        <w:gridCol w:w="2065"/>
        <w:gridCol w:w="7294"/>
      </w:tblGrid>
      <w:tr>
        <w:trPr>
          <w:trHeight w:val="532"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rPr>
                <w:rFonts w:hAnsi="宋体"/>
                <w:bCs/>
                <w:color w:val="000000"/>
                <w:sz w:val="24"/>
                <w:szCs w:val="24"/>
              </w:rPr>
            </w:pPr>
            <w:r>
              <w:rPr>
                <w:rFonts w:hint="eastAsia" w:hAnsi="宋体" w:cs="宋体"/>
                <w:bCs/>
                <w:color w:val="000000"/>
                <w:sz w:val="24"/>
                <w:szCs w:val="24"/>
              </w:rPr>
              <w:t>本科招生专业</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rPr>
                <w:rFonts w:hAnsi="宋体"/>
                <w:bCs/>
                <w:color w:val="000000"/>
                <w:sz w:val="24"/>
                <w:szCs w:val="24"/>
              </w:rPr>
            </w:pPr>
            <w:r>
              <w:rPr>
                <w:rFonts w:hint="eastAsia" w:hAnsi="宋体" w:cs="宋体"/>
                <w:bCs/>
                <w:color w:val="000000"/>
                <w:sz w:val="24"/>
                <w:szCs w:val="24"/>
              </w:rPr>
              <w:t>对应高职高专专业</w:t>
            </w:r>
          </w:p>
        </w:tc>
      </w:tr>
      <w:tr>
        <w:tblPrEx>
          <w:tblCellMar>
            <w:top w:w="0" w:type="dxa"/>
            <w:left w:w="0" w:type="dxa"/>
            <w:bottom w:w="0" w:type="dxa"/>
            <w:right w:w="0" w:type="dxa"/>
          </w:tblCellMar>
        </w:tblPrEx>
        <w:trPr>
          <w:trHeight w:val="587"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生物工程</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left"/>
              <w:rPr>
                <w:rFonts w:hAnsi="宋体"/>
                <w:color w:val="000000"/>
              </w:rPr>
            </w:pPr>
            <w:r>
              <w:rPr>
                <w:rFonts w:hint="eastAsia" w:hAnsi="宋体"/>
                <w:color w:val="000000"/>
              </w:rPr>
              <w:t>药品生物技术、农业生物技术、食品生物技术、医学生物技术、食品营养与检测、药品生产技术、生物产品检验检疫、生物药生产技术及其相关专业</w:t>
            </w:r>
          </w:p>
        </w:tc>
      </w:tr>
      <w:tr>
        <w:tblPrEx>
          <w:tblCellMar>
            <w:top w:w="0" w:type="dxa"/>
            <w:left w:w="0" w:type="dxa"/>
            <w:bottom w:w="0" w:type="dxa"/>
            <w:right w:w="0" w:type="dxa"/>
          </w:tblCellMar>
        </w:tblPrEx>
        <w:trPr>
          <w:trHeight w:val="345"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制药工程</w:t>
            </w:r>
          </w:p>
        </w:tc>
        <w:tc>
          <w:tcPr>
            <w:tcW w:w="7294" w:type="dxa"/>
            <w:vMerge w:val="restart"/>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中药生产与加工、药品生产技术、药品经营与管理、中药学、药品生物技术、制药设备应用技术、药品质量与安全及</w:t>
            </w:r>
            <w:r>
              <w:rPr>
                <w:rFonts w:hAnsi="宋体" w:cs="宋体"/>
                <w:color w:val="000000"/>
              </w:rPr>
              <w:t>其相关专业</w:t>
            </w:r>
          </w:p>
        </w:tc>
      </w:tr>
      <w:tr>
        <w:tblPrEx>
          <w:tblCellMar>
            <w:top w:w="0" w:type="dxa"/>
            <w:left w:w="0" w:type="dxa"/>
            <w:bottom w:w="0" w:type="dxa"/>
            <w:right w:w="0" w:type="dxa"/>
          </w:tblCellMar>
        </w:tblPrEx>
        <w:trPr>
          <w:trHeight w:val="359"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中药学</w:t>
            </w:r>
          </w:p>
        </w:tc>
        <w:tc>
          <w:tcPr>
            <w:tcW w:w="7294" w:type="dxa"/>
            <w:vMerge w:val="continue"/>
            <w:tcBorders>
              <w:left w:val="single" w:color="000000" w:sz="4" w:space="0"/>
              <w:bottom w:val="single" w:color="000000" w:sz="4" w:space="0"/>
              <w:right w:val="single" w:color="000000" w:sz="4" w:space="0"/>
            </w:tcBorders>
            <w:tcMar>
              <w:left w:w="0" w:type="dxa"/>
              <w:right w:w="0" w:type="dxa"/>
            </w:tcMar>
          </w:tcPr>
          <w:p>
            <w:pPr>
              <w:snapToGrid w:val="0"/>
              <w:spacing w:line="240" w:lineRule="atLeast"/>
              <w:jc w:val="left"/>
              <w:rPr>
                <w:rFonts w:hAnsi="宋体"/>
                <w:color w:val="000000"/>
              </w:rPr>
            </w:pPr>
          </w:p>
        </w:tc>
      </w:tr>
      <w:tr>
        <w:tblPrEx>
          <w:tblCellMar>
            <w:top w:w="0" w:type="dxa"/>
            <w:left w:w="0" w:type="dxa"/>
            <w:bottom w:w="0" w:type="dxa"/>
            <w:right w:w="0" w:type="dxa"/>
          </w:tblCellMar>
        </w:tblPrEx>
        <w:trPr>
          <w:trHeight w:val="279"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财务管理</w:t>
            </w:r>
          </w:p>
        </w:tc>
        <w:tc>
          <w:tcPr>
            <w:tcW w:w="7294" w:type="dxa"/>
            <w:vMerge w:val="restart"/>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olor w:val="000000"/>
              </w:rPr>
              <w:t>会计、财务管理、市场营销、旅游管理、电子商务、艺术设计及其相关专业</w:t>
            </w:r>
          </w:p>
        </w:tc>
      </w:tr>
      <w:tr>
        <w:tblPrEx>
          <w:tblCellMar>
            <w:top w:w="0" w:type="dxa"/>
            <w:left w:w="0" w:type="dxa"/>
            <w:bottom w:w="0" w:type="dxa"/>
            <w:right w:w="0" w:type="dxa"/>
          </w:tblCellMar>
        </w:tblPrEx>
        <w:trPr>
          <w:trHeight w:val="271"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市场营销</w:t>
            </w:r>
          </w:p>
        </w:tc>
        <w:tc>
          <w:tcPr>
            <w:tcW w:w="7294" w:type="dxa"/>
            <w:vMerge w:val="continue"/>
            <w:tcBorders>
              <w:left w:val="single" w:color="000000" w:sz="4" w:space="0"/>
              <w:right w:val="single" w:color="000000" w:sz="4" w:space="0"/>
            </w:tcBorders>
            <w:tcMar>
              <w:left w:w="0" w:type="dxa"/>
              <w:right w:w="0" w:type="dxa"/>
            </w:tcMar>
          </w:tcPr>
          <w:p>
            <w:pPr>
              <w:snapToGrid w:val="0"/>
              <w:spacing w:line="240" w:lineRule="atLeast"/>
              <w:jc w:val="left"/>
              <w:rPr>
                <w:rFonts w:hAnsi="宋体"/>
                <w:color w:val="000000"/>
              </w:rPr>
            </w:pPr>
          </w:p>
        </w:tc>
      </w:tr>
      <w:tr>
        <w:trPr>
          <w:trHeight w:val="291"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文化产业管理</w:t>
            </w:r>
          </w:p>
        </w:tc>
        <w:tc>
          <w:tcPr>
            <w:tcW w:w="7294" w:type="dxa"/>
            <w:vMerge w:val="continue"/>
            <w:tcBorders>
              <w:left w:val="single" w:color="000000" w:sz="4" w:space="0"/>
              <w:bottom w:val="single" w:color="000000" w:sz="4" w:space="0"/>
              <w:right w:val="single" w:color="000000" w:sz="4" w:space="0"/>
            </w:tcBorders>
            <w:tcMar>
              <w:left w:w="0" w:type="dxa"/>
              <w:right w:w="0" w:type="dxa"/>
            </w:tcMar>
          </w:tcPr>
          <w:p>
            <w:pPr>
              <w:snapToGrid w:val="0"/>
              <w:spacing w:line="240" w:lineRule="atLeast"/>
              <w:jc w:val="left"/>
              <w:rPr>
                <w:rFonts w:hAnsi="宋体"/>
                <w:color w:val="000000"/>
              </w:rPr>
            </w:pPr>
          </w:p>
        </w:tc>
      </w:tr>
      <w:tr>
        <w:tblPrEx>
          <w:tblCellMar>
            <w:top w:w="0" w:type="dxa"/>
            <w:left w:w="0" w:type="dxa"/>
            <w:bottom w:w="0" w:type="dxa"/>
            <w:right w:w="0" w:type="dxa"/>
          </w:tblCellMar>
        </w:tblPrEx>
        <w:trPr>
          <w:trHeight w:val="908"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s="宋体"/>
                <w:color w:val="000000"/>
              </w:rPr>
            </w:pPr>
            <w:r>
              <w:rPr>
                <w:rFonts w:hint="eastAsia" w:hAnsi="宋体" w:cs="宋体"/>
                <w:color w:val="000000"/>
              </w:rPr>
              <w:t>机械设计制造及其</w:t>
            </w:r>
          </w:p>
          <w:p>
            <w:pPr>
              <w:snapToGrid w:val="0"/>
              <w:spacing w:line="240" w:lineRule="atLeast"/>
              <w:jc w:val="center"/>
              <w:rPr>
                <w:rFonts w:hAnsi="宋体"/>
                <w:color w:val="000000"/>
              </w:rPr>
            </w:pPr>
            <w:r>
              <w:rPr>
                <w:rFonts w:hint="eastAsia" w:hAnsi="宋体" w:cs="宋体"/>
                <w:color w:val="000000"/>
              </w:rPr>
              <w:t>自动化</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s="宋体"/>
                <w:color w:val="000000"/>
              </w:rPr>
            </w:pPr>
            <w:r>
              <w:rPr>
                <w:rFonts w:hint="eastAsia" w:hAnsi="宋体" w:cs="宋体"/>
                <w:color w:val="000000"/>
              </w:rPr>
              <w:t>机械设计与制造、机械制造与自动化、数控技术、机械装备制造技术、自动化生产设备应用、机电设备安装技术、机电设备维修与管理、机电一体化技术及</w:t>
            </w:r>
            <w:r>
              <w:rPr>
                <w:rFonts w:hAnsi="宋体" w:cs="宋体"/>
                <w:color w:val="000000"/>
              </w:rPr>
              <w:t>其相关专业</w:t>
            </w:r>
          </w:p>
        </w:tc>
      </w:tr>
      <w:tr>
        <w:trPr>
          <w:trHeight w:val="439"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土木工程</w:t>
            </w:r>
          </w:p>
        </w:tc>
        <w:tc>
          <w:tcPr>
            <w:tcW w:w="7294" w:type="dxa"/>
            <w:vMerge w:val="restart"/>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建筑工程技术、工程造价、给排水工程技术、市政工程技术、建设工程管理、建设工程监理、建设项目信息化管理、地下与隧道工程技术、矿井建设、建筑装饰工程技术、古建筑工程技术、园林工程技术、村镇建设与管理、铁道工程技术、铁路桥梁与隧道工程技术、高速铁道工程技术、港口与航道工程技术、城市轨道交通工程技术、物业管理、水利水电工程管理、建筑设备工程技术、供热通风与空调工程技术、建筑智能化工程技术、工业设备安装工程技术、消防工程技术等相关专业</w:t>
            </w:r>
          </w:p>
        </w:tc>
      </w:tr>
      <w:tr>
        <w:tblPrEx>
          <w:tblCellMar>
            <w:top w:w="0" w:type="dxa"/>
            <w:left w:w="0" w:type="dxa"/>
            <w:bottom w:w="0" w:type="dxa"/>
            <w:right w:w="0" w:type="dxa"/>
          </w:tblCellMar>
        </w:tblPrEx>
        <w:trPr>
          <w:trHeight w:val="1473"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工程造价</w:t>
            </w:r>
          </w:p>
        </w:tc>
        <w:tc>
          <w:tcPr>
            <w:tcW w:w="7294" w:type="dxa"/>
            <w:vMerge w:val="continue"/>
            <w:tcBorders>
              <w:left w:val="single" w:color="000000" w:sz="4" w:space="0"/>
              <w:bottom w:val="single" w:color="000000" w:sz="4" w:space="0"/>
              <w:right w:val="single" w:color="000000" w:sz="4" w:space="0"/>
            </w:tcBorders>
            <w:tcMar>
              <w:left w:w="0" w:type="dxa"/>
              <w:right w:w="0" w:type="dxa"/>
            </w:tcMar>
          </w:tcPr>
          <w:p>
            <w:pPr>
              <w:snapToGrid w:val="0"/>
              <w:spacing w:line="240" w:lineRule="atLeast"/>
              <w:jc w:val="left"/>
              <w:rPr>
                <w:rFonts w:hAnsi="宋体"/>
                <w:color w:val="000000"/>
              </w:rPr>
            </w:pPr>
          </w:p>
        </w:tc>
      </w:tr>
      <w:tr>
        <w:tblPrEx>
          <w:tblCellMar>
            <w:top w:w="0" w:type="dxa"/>
            <w:left w:w="0" w:type="dxa"/>
            <w:bottom w:w="0" w:type="dxa"/>
            <w:right w:w="0" w:type="dxa"/>
          </w:tblCellMar>
        </w:tblPrEx>
        <w:trPr>
          <w:trHeight w:val="842"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center"/>
              <w:rPr>
                <w:rFonts w:hAnsi="宋体"/>
                <w:color w:val="000000"/>
              </w:rPr>
            </w:pPr>
            <w:r>
              <w:rPr>
                <w:rFonts w:hint="eastAsia" w:hAnsi="宋体"/>
                <w:color w:val="000000"/>
              </w:rPr>
              <w:t>食品科学与工程</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left"/>
              <w:rPr>
                <w:rFonts w:hAnsi="宋体"/>
                <w:color w:val="000000"/>
              </w:rPr>
            </w:pPr>
            <w:r>
              <w:rPr>
                <w:rFonts w:hint="eastAsia" w:hAnsi="宋体"/>
                <w:color w:val="000000"/>
              </w:rPr>
              <w:t>食品营养与检测、食品加工技术、食品贮运与营销、食品检测技术、食品营养与卫生、保健品开发与管理、粮食工程技术、粮油储藏与检测技术及其相关专业</w:t>
            </w:r>
          </w:p>
        </w:tc>
      </w:tr>
      <w:tr>
        <w:tblPrEx>
          <w:tblCellMar>
            <w:top w:w="0" w:type="dxa"/>
            <w:left w:w="0" w:type="dxa"/>
            <w:bottom w:w="0" w:type="dxa"/>
            <w:right w:w="0" w:type="dxa"/>
          </w:tblCellMar>
        </w:tblPrEx>
        <w:trPr>
          <w:trHeight w:val="532"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园林</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园林技术、园艺技术、园林工程技术及其相关专业</w:t>
            </w:r>
          </w:p>
        </w:tc>
      </w:tr>
      <w:tr>
        <w:trPr>
          <w:trHeight w:val="1045"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center"/>
              <w:rPr>
                <w:rFonts w:hAnsi="宋体"/>
                <w:color w:val="000000"/>
              </w:rPr>
            </w:pPr>
            <w:r>
              <w:rPr>
                <w:rFonts w:hint="eastAsia" w:hAnsi="宋体"/>
                <w:color w:val="000000"/>
              </w:rPr>
              <w:t>环境工程</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left"/>
              <w:rPr>
                <w:rFonts w:hAnsi="宋体"/>
                <w:color w:val="000000"/>
              </w:rPr>
            </w:pPr>
            <w:r>
              <w:rPr>
                <w:rFonts w:hint="eastAsia" w:hAnsi="宋体"/>
                <w:color w:val="000000"/>
              </w:rPr>
              <w:t>环境工程技术、环境规划与管理、环境监测与控制技术、室内环境检测与控制技术、环境评价与咨询服务、污染修复与生态工程技术、水环境监测与治理、化工安全技术及其相关专业</w:t>
            </w:r>
          </w:p>
        </w:tc>
      </w:tr>
      <w:tr>
        <w:trPr>
          <w:trHeight w:val="1127"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计算机科学与技术</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t>计算机应用技术、计算机网络技术、计算机信息管理、计算机系统与维护、软件技术、软件与信息服务、嵌入式技术与应用、信息安全与管理、移动应用开发、云计算技术与应用、电子商务技术、移动商务、监所信息技术应用</w:t>
            </w:r>
            <w:r>
              <w:rPr>
                <w:rFonts w:hint="eastAsia"/>
              </w:rPr>
              <w:t>及其</w:t>
            </w:r>
            <w:r>
              <w:t>相关</w:t>
            </w:r>
            <w:r>
              <w:rPr>
                <w:rFonts w:hint="eastAsia"/>
              </w:rPr>
              <w:t>专业</w:t>
            </w:r>
          </w:p>
        </w:tc>
      </w:tr>
      <w:tr>
        <w:tblPrEx>
          <w:tblCellMar>
            <w:top w:w="0" w:type="dxa"/>
            <w:left w:w="0" w:type="dxa"/>
            <w:bottom w:w="0" w:type="dxa"/>
            <w:right w:w="0" w:type="dxa"/>
          </w:tblCellMar>
        </w:tblPrEx>
        <w:trPr>
          <w:trHeight w:val="714"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信息管理与信息系统</w:t>
            </w:r>
          </w:p>
        </w:tc>
        <w:tc>
          <w:tcPr>
            <w:tcW w:w="729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网络舆情监测、出版信息管理、经济信息管理、会计信息管理、卫生信息管理、城市信息化管理、环境信息技术及</w:t>
            </w:r>
            <w:r>
              <w:rPr>
                <w:rFonts w:hAnsi="宋体" w:cs="宋体"/>
                <w:color w:val="000000"/>
              </w:rPr>
              <w:t>其相关专业</w:t>
            </w:r>
          </w:p>
        </w:tc>
      </w:tr>
      <w:tr>
        <w:trPr>
          <w:trHeight w:val="421"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环境设计</w:t>
            </w:r>
          </w:p>
        </w:tc>
        <w:tc>
          <w:tcPr>
            <w:tcW w:w="7294" w:type="dxa"/>
            <w:tcBorders>
              <w:top w:val="single" w:color="auto"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艺术设计及通过艺术类考试招生录取的高职高专相关专业的学生</w:t>
            </w:r>
          </w:p>
        </w:tc>
      </w:tr>
      <w:tr>
        <w:tblPrEx>
          <w:tblCellMar>
            <w:top w:w="0" w:type="dxa"/>
            <w:left w:w="0" w:type="dxa"/>
            <w:bottom w:w="0" w:type="dxa"/>
            <w:right w:w="0" w:type="dxa"/>
          </w:tblCellMar>
        </w:tblPrEx>
        <w:trPr>
          <w:trHeight w:val="379"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color w:val="000000"/>
              </w:rPr>
            </w:pPr>
            <w:r>
              <w:rPr>
                <w:rFonts w:hint="eastAsia"/>
                <w:color w:val="000000"/>
              </w:rPr>
              <w:t>视觉传达设计</w:t>
            </w:r>
          </w:p>
        </w:tc>
        <w:tc>
          <w:tcPr>
            <w:tcW w:w="7294" w:type="dxa"/>
            <w:tcBorders>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color w:val="000000"/>
              </w:rPr>
            </w:pPr>
            <w:r>
              <w:rPr>
                <w:rFonts w:hint="eastAsia"/>
                <w:color w:val="000000"/>
              </w:rPr>
              <w:t>艺术设计及通过艺术类考试招生录取的高职高专相关专业的学生</w:t>
            </w:r>
          </w:p>
        </w:tc>
      </w:tr>
      <w:tr>
        <w:tblPrEx>
          <w:tblCellMar>
            <w:top w:w="0" w:type="dxa"/>
            <w:left w:w="0" w:type="dxa"/>
            <w:bottom w:w="0" w:type="dxa"/>
            <w:right w:w="0" w:type="dxa"/>
          </w:tblCellMar>
        </w:tblPrEx>
        <w:trPr>
          <w:trHeight w:val="461"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社会体育指导与管理</w:t>
            </w:r>
          </w:p>
        </w:tc>
        <w:tc>
          <w:tcPr>
            <w:tcW w:w="7294" w:type="dxa"/>
            <w:tcBorders>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olor w:val="000000"/>
              </w:rPr>
              <w:t>不限专业（鼓励有一定体育基础和兴趣爱好者报考）</w:t>
            </w:r>
          </w:p>
        </w:tc>
      </w:tr>
      <w:tr>
        <w:trPr>
          <w:trHeight w:val="532" w:hRule="exact"/>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rPr>
                <w:rFonts w:hAnsi="宋体"/>
                <w:color w:val="000000"/>
              </w:rPr>
            </w:pPr>
            <w:r>
              <w:rPr>
                <w:rFonts w:hint="eastAsia" w:hAnsi="宋体" w:cs="宋体"/>
                <w:color w:val="000000"/>
              </w:rPr>
              <w:t>英语</w:t>
            </w:r>
          </w:p>
        </w:tc>
        <w:tc>
          <w:tcPr>
            <w:tcW w:w="7294"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olor w:val="000000"/>
              </w:rPr>
              <w:t>语言类、教育类、文化类、旅游类、财经商贸类、新闻传播类、文秘类、公共管理与服务类等相关专业</w:t>
            </w:r>
          </w:p>
        </w:tc>
      </w:tr>
    </w:tbl>
    <w:p>
      <w:pPr>
        <w:widowControl/>
        <w:spacing w:line="560" w:lineRule="exact"/>
        <w:rPr>
          <w:rFonts w:ascii="仿宋_GB2312" w:hAnsi="黑体" w:eastAsia="仿宋_GB2312" w:cs="仿宋_GB2312"/>
          <w:color w:val="000000"/>
          <w:sz w:val="32"/>
          <w:szCs w:val="32"/>
        </w:rPr>
      </w:pPr>
    </w:p>
    <w:p>
      <w:pPr>
        <w:widowControl/>
        <w:spacing w:line="560" w:lineRule="exact"/>
        <w:rPr>
          <w:rFonts w:ascii="仿宋_GB2312" w:hAnsi="黑体" w:eastAsia="仿宋_GB2312" w:cs="仿宋_GB2312"/>
          <w:color w:val="000000"/>
          <w:sz w:val="32"/>
          <w:szCs w:val="32"/>
        </w:rPr>
      </w:pPr>
    </w:p>
    <w:p>
      <w:pPr>
        <w:widowControl/>
        <w:spacing w:line="560" w:lineRule="exact"/>
        <w:rPr>
          <w:rFonts w:ascii="黑体" w:hAnsi="黑体" w:eastAsia="黑体"/>
          <w:color w:val="000000"/>
          <w:sz w:val="32"/>
          <w:szCs w:val="32"/>
        </w:rPr>
      </w:pPr>
      <w:r>
        <w:rPr>
          <w:rFonts w:hint="eastAsia" w:ascii="黑体" w:hAnsi="黑体" w:eastAsia="黑体" w:cs="仿宋_GB2312"/>
          <w:color w:val="000000"/>
          <w:sz w:val="32"/>
          <w:szCs w:val="32"/>
        </w:rPr>
        <w:t>附件</w:t>
      </w:r>
      <w:r>
        <w:rPr>
          <w:rFonts w:ascii="黑体" w:hAnsi="黑体" w:eastAsia="黑体" w:cs="仿宋_GB2312"/>
          <w:color w:val="000000"/>
          <w:sz w:val="32"/>
          <w:szCs w:val="32"/>
        </w:rPr>
        <w:t>2</w:t>
      </w:r>
    </w:p>
    <w:p>
      <w:pPr>
        <w:jc w:val="center"/>
        <w:rPr>
          <w:rFonts w:ascii="方正小标宋简体" w:hAnsi="华文中宋" w:eastAsia="方正小标宋简体"/>
          <w:sz w:val="32"/>
          <w:szCs w:val="32"/>
        </w:rPr>
      </w:pPr>
      <w:r>
        <w:rPr>
          <w:rFonts w:hint="eastAsia" w:ascii="方正小标宋简体" w:hAnsi="华文中宋" w:eastAsia="方正小标宋简体"/>
          <w:sz w:val="32"/>
          <w:szCs w:val="32"/>
        </w:rPr>
        <w:t xml:space="preserve">湖北省普通高校退役大学生士兵免试“专升本”确认表         </w:t>
      </w:r>
    </w:p>
    <w:tbl>
      <w:tblPr>
        <w:tblStyle w:val="3"/>
        <w:tblW w:w="9781"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1"/>
        <w:gridCol w:w="1843"/>
        <w:gridCol w:w="1134"/>
        <w:gridCol w:w="1276"/>
        <w:gridCol w:w="1559"/>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701"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sz w:val="24"/>
                <w:szCs w:val="24"/>
              </w:rPr>
            </w:pPr>
            <w:r>
              <w:rPr>
                <w:rFonts w:ascii="宋体" w:hAnsi="宋体"/>
                <w:b/>
                <w:sz w:val="24"/>
                <w:szCs w:val="24"/>
              </w:rPr>
              <w:t>学生基本信息</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姓</w:t>
            </w:r>
            <w:r>
              <w:rPr>
                <w:rFonts w:hint="eastAsia" w:ascii="Times New Roman" w:hAnsi="Times New Roman" w:eastAsia="仿宋_GB2312"/>
                <w:sz w:val="24"/>
                <w:szCs w:val="24"/>
              </w:rPr>
              <w:t xml:space="preserve"> </w:t>
            </w:r>
            <w:r>
              <w:rPr>
                <w:rFonts w:ascii="Times New Roman" w:hAnsi="Times New Roman" w:eastAsia="仿宋_GB2312"/>
                <w:sz w:val="24"/>
                <w:szCs w:val="24"/>
              </w:rPr>
              <w:t>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民</w:t>
            </w:r>
            <w:r>
              <w:rPr>
                <w:rFonts w:hint="eastAsia" w:ascii="Times New Roman" w:hAnsi="Times New Roman" w:eastAsia="仿宋_GB2312"/>
                <w:sz w:val="24"/>
                <w:szCs w:val="24"/>
              </w:rPr>
              <w:t xml:space="preserve"> </w:t>
            </w:r>
            <w:r>
              <w:rPr>
                <w:rFonts w:ascii="Times New Roman" w:hAnsi="Times New Roman" w:eastAsia="仿宋_GB2312"/>
                <w:sz w:val="24"/>
                <w:szCs w:val="24"/>
              </w:rPr>
              <w:t>族</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701"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仿宋_GB2312"/>
                <w:b/>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rPr>
              <w:t>出生年月</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身份证号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701"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仿宋_GB2312"/>
                <w:b/>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rPr>
              <w:t>毕业学校</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rPr>
              <w:t>就读专业</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01"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b/>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毕业证书号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trPr>
        <w:tc>
          <w:tcPr>
            <w:tcW w:w="1701" w:type="dxa"/>
            <w:vMerge w:val="restart"/>
            <w:tcBorders>
              <w:left w:val="single" w:color="auto" w:sz="4" w:space="0"/>
              <w:right w:val="single" w:color="auto" w:sz="4" w:space="0"/>
            </w:tcBorders>
            <w:vAlign w:val="center"/>
          </w:tcPr>
          <w:p>
            <w:pPr>
              <w:spacing w:line="300" w:lineRule="exact"/>
              <w:jc w:val="center"/>
              <w:rPr>
                <w:rFonts w:ascii="Times New Roman" w:hAnsi="Times New Roman" w:eastAsia="仿宋_GB2312"/>
                <w:b/>
                <w:sz w:val="24"/>
                <w:szCs w:val="24"/>
              </w:rPr>
            </w:pPr>
            <w:r>
              <w:rPr>
                <w:rFonts w:ascii="Times New Roman" w:hAnsi="Times New Roman" w:eastAsia="仿宋_GB2312"/>
                <w:b/>
                <w:sz w:val="24"/>
                <w:szCs w:val="24"/>
              </w:rPr>
              <w:t>学</w:t>
            </w:r>
            <w:r>
              <w:rPr>
                <w:rFonts w:ascii="宋体" w:hAnsi="宋体"/>
                <w:b/>
                <w:sz w:val="24"/>
                <w:szCs w:val="24"/>
              </w:rPr>
              <w:t>生服役信息</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入伍时间</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退役时间</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701"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立功类型</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立功时间</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trPr>
        <w:tc>
          <w:tcPr>
            <w:tcW w:w="1701"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r>
              <w:rPr>
                <w:rFonts w:ascii="Times New Roman" w:hAnsi="Times New Roman" w:eastAsia="仿宋_GB2312"/>
                <w:sz w:val="24"/>
                <w:szCs w:val="24"/>
              </w:rPr>
              <w:t>立功文件编号</w:t>
            </w:r>
          </w:p>
        </w:tc>
        <w:tc>
          <w:tcPr>
            <w:tcW w:w="6237"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9781" w:type="dxa"/>
            <w:gridSpan w:val="6"/>
            <w:tcBorders>
              <w:top w:val="single" w:color="auto" w:sz="4" w:space="0"/>
              <w:left w:val="single" w:color="auto" w:sz="4" w:space="0"/>
              <w:bottom w:val="single" w:color="auto" w:sz="4" w:space="0"/>
              <w:right w:val="single" w:color="auto" w:sz="4" w:space="0"/>
            </w:tcBorders>
          </w:tcPr>
          <w:p>
            <w:pPr>
              <w:spacing w:line="320" w:lineRule="exact"/>
              <w:ind w:right="-91"/>
              <w:rPr>
                <w:rFonts w:ascii="仿宋_GB2312" w:hAnsi="仿宋" w:eastAsia="仿宋_GB2312"/>
                <w:sz w:val="24"/>
                <w:szCs w:val="20"/>
              </w:rPr>
            </w:pPr>
            <w:r>
              <w:rPr>
                <w:rFonts w:hint="eastAsia" w:ascii="仿宋_GB2312" w:hAnsi="仿宋" w:eastAsia="仿宋_GB2312"/>
                <w:sz w:val="24"/>
                <w:szCs w:val="20"/>
              </w:rPr>
              <w:t xml:space="preserve">                           </w:t>
            </w:r>
          </w:p>
          <w:p>
            <w:pPr>
              <w:spacing w:line="320" w:lineRule="exact"/>
              <w:ind w:right="-91" w:firstLine="1446" w:firstLineChars="600"/>
              <w:rPr>
                <w:rFonts w:ascii="仿宋_GB2312" w:hAnsi="仿宋" w:eastAsia="仿宋_GB2312"/>
                <w:b/>
                <w:sz w:val="24"/>
                <w:szCs w:val="20"/>
              </w:rPr>
            </w:pPr>
            <w:r>
              <w:rPr>
                <w:rFonts w:hint="eastAsia" w:ascii="仿宋_GB2312" w:hAnsi="仿宋" w:eastAsia="仿宋_GB2312"/>
                <w:b/>
                <w:sz w:val="24"/>
                <w:szCs w:val="20"/>
              </w:rPr>
              <w:t>以上信息为本人填写，情况属实。</w:t>
            </w:r>
          </w:p>
          <w:p>
            <w:pPr>
              <w:spacing w:line="320" w:lineRule="exact"/>
              <w:ind w:right="-91" w:firstLine="4989" w:firstLineChars="2079"/>
              <w:rPr>
                <w:rFonts w:ascii="仿宋_GB2312" w:hAnsi="仿宋" w:eastAsia="仿宋_GB2312"/>
                <w:sz w:val="24"/>
                <w:szCs w:val="20"/>
              </w:rPr>
            </w:pPr>
            <w:r>
              <w:rPr>
                <w:rFonts w:hint="eastAsia" w:ascii="仿宋_GB2312" w:hAnsi="仿宋" w:eastAsia="仿宋_GB2312"/>
                <w:sz w:val="24"/>
                <w:szCs w:val="20"/>
              </w:rPr>
              <w:t xml:space="preserve">                </w:t>
            </w:r>
          </w:p>
          <w:p>
            <w:pPr>
              <w:spacing w:line="320" w:lineRule="exact"/>
              <w:ind w:right="-91" w:firstLine="6480" w:firstLineChars="2700"/>
              <w:rPr>
                <w:rFonts w:ascii="仿宋_GB2312" w:hAnsi="仿宋" w:eastAsia="仿宋_GB2312"/>
                <w:sz w:val="24"/>
                <w:szCs w:val="20"/>
              </w:rPr>
            </w:pPr>
            <w:r>
              <w:rPr>
                <w:rFonts w:hint="eastAsia" w:ascii="仿宋_GB2312" w:hAnsi="仿宋" w:eastAsia="仿宋_GB2312"/>
                <w:sz w:val="24"/>
                <w:szCs w:val="20"/>
              </w:rPr>
              <w:t xml:space="preserve"> 本人签字：</w:t>
            </w:r>
          </w:p>
          <w:p>
            <w:pPr>
              <w:spacing w:line="320" w:lineRule="exact"/>
              <w:ind w:right="-91"/>
              <w:rPr>
                <w:rFonts w:ascii="仿宋_GB2312" w:hAnsi="仿宋" w:eastAsia="仿宋_GB2312"/>
                <w:sz w:val="24"/>
                <w:szCs w:val="20"/>
              </w:rPr>
            </w:pPr>
            <w:r>
              <w:rPr>
                <w:rFonts w:hint="eastAsia" w:ascii="仿宋_GB2312" w:hAnsi="仿宋" w:eastAsia="仿宋_GB2312"/>
                <w:sz w:val="24"/>
                <w:szCs w:val="2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5" w:hRule="atLeast"/>
        </w:trPr>
        <w:tc>
          <w:tcPr>
            <w:tcW w:w="5954" w:type="dxa"/>
            <w:gridSpan w:val="4"/>
            <w:tcBorders>
              <w:top w:val="single" w:color="auto" w:sz="4" w:space="0"/>
              <w:left w:val="single" w:color="auto" w:sz="4" w:space="0"/>
              <w:right w:val="single" w:color="auto" w:sz="4" w:space="0"/>
            </w:tcBorders>
          </w:tcPr>
          <w:p>
            <w:pPr>
              <w:spacing w:line="380" w:lineRule="exact"/>
              <w:ind w:right="-88"/>
              <w:rPr>
                <w:rFonts w:ascii="仿宋" w:hAnsi="仿宋" w:eastAsia="仿宋"/>
                <w:sz w:val="24"/>
                <w:szCs w:val="20"/>
              </w:rPr>
            </w:pPr>
            <w:r>
              <w:rPr>
                <w:rFonts w:hint="eastAsia" w:ascii="仿宋" w:hAnsi="仿宋" w:eastAsia="仿宋"/>
                <w:sz w:val="24"/>
                <w:szCs w:val="20"/>
              </w:rPr>
              <w:t>拟申请就读学校确认意见：</w:t>
            </w:r>
          </w:p>
          <w:p>
            <w:pPr>
              <w:widowControl/>
              <w:shd w:val="clear" w:color="auto" w:fill="FFFFFF"/>
              <w:spacing w:line="420" w:lineRule="exact"/>
              <w:ind w:firstLine="480" w:firstLineChars="200"/>
              <w:rPr>
                <w:rFonts w:ascii="仿宋_GB2312" w:hAnsi="仿宋" w:eastAsia="仿宋_GB2312"/>
                <w:sz w:val="24"/>
                <w:szCs w:val="20"/>
              </w:rPr>
            </w:pPr>
            <w:r>
              <w:rPr>
                <w:rFonts w:hint="eastAsia" w:ascii="仿宋_GB2312" w:hAnsi="仿宋" w:eastAsia="仿宋_GB2312"/>
                <w:sz w:val="24"/>
                <w:szCs w:val="20"/>
              </w:rPr>
              <w:t xml:space="preserve">    </w:t>
            </w:r>
          </w:p>
          <w:p>
            <w:pPr>
              <w:widowControl/>
              <w:shd w:val="clear" w:color="auto" w:fill="FFFFFF"/>
              <w:spacing w:line="420" w:lineRule="exact"/>
              <w:ind w:firstLine="480" w:firstLineChars="200"/>
              <w:rPr>
                <w:rFonts w:ascii="仿宋_GB2312" w:hAnsi="仿宋" w:eastAsia="仿宋_GB2312"/>
                <w:sz w:val="24"/>
                <w:szCs w:val="20"/>
              </w:rPr>
            </w:pPr>
            <w:r>
              <w:rPr>
                <w:rFonts w:hint="eastAsia" w:ascii="仿宋_GB2312" w:hAnsi="仿宋" w:eastAsia="仿宋_GB2312"/>
                <w:sz w:val="24"/>
                <w:szCs w:val="20"/>
              </w:rPr>
              <w:t>鉴于          服役期间荣立三等功，根据《教育部办公厅关于进一步做好高校学生参军入伍工作的通知》(教学厅〔2015〕3号)精神，经学校审核，同意其免试升入本科           专业就读，并于       年秋季学期入学。</w:t>
            </w:r>
          </w:p>
          <w:p>
            <w:pPr>
              <w:spacing w:line="420" w:lineRule="exact"/>
              <w:ind w:right="625"/>
              <w:rPr>
                <w:rFonts w:ascii="仿宋_GB2312" w:hAnsi="仿宋" w:eastAsia="仿宋_GB2312"/>
                <w:sz w:val="24"/>
                <w:szCs w:val="20"/>
              </w:rPr>
            </w:pPr>
          </w:p>
          <w:p>
            <w:pPr>
              <w:spacing w:line="380" w:lineRule="exact"/>
              <w:ind w:right="-152"/>
              <w:rPr>
                <w:rFonts w:ascii="仿宋_GB2312" w:hAnsi="仿宋" w:eastAsia="仿宋_GB2312"/>
                <w:sz w:val="24"/>
                <w:szCs w:val="20"/>
              </w:rPr>
            </w:pPr>
            <w:r>
              <w:rPr>
                <w:rFonts w:hint="eastAsia" w:ascii="仿宋_GB2312" w:hAnsi="仿宋" w:eastAsia="仿宋_GB2312"/>
                <w:sz w:val="24"/>
                <w:szCs w:val="20"/>
              </w:rPr>
              <w:t xml:space="preserve">                              （公 章 ）</w:t>
            </w:r>
          </w:p>
          <w:p>
            <w:pPr>
              <w:spacing w:line="380" w:lineRule="exact"/>
              <w:ind w:right="-88"/>
              <w:rPr>
                <w:rFonts w:ascii="仿宋_GB2312" w:hAnsi="仿宋" w:eastAsia="仿宋_GB2312"/>
                <w:sz w:val="24"/>
                <w:szCs w:val="20"/>
              </w:rPr>
            </w:pPr>
            <w:r>
              <w:rPr>
                <w:rFonts w:hint="eastAsia" w:ascii="仿宋_GB2312" w:hAnsi="仿宋" w:eastAsia="仿宋_GB2312"/>
                <w:sz w:val="24"/>
                <w:szCs w:val="20"/>
              </w:rPr>
              <w:t xml:space="preserve">                             年  月  日    </w:t>
            </w:r>
          </w:p>
        </w:tc>
        <w:tc>
          <w:tcPr>
            <w:tcW w:w="3827" w:type="dxa"/>
            <w:gridSpan w:val="2"/>
            <w:tcBorders>
              <w:top w:val="single" w:color="auto" w:sz="4" w:space="0"/>
              <w:left w:val="single" w:color="auto" w:sz="4" w:space="0"/>
              <w:bottom w:val="single" w:color="auto" w:sz="4" w:space="0"/>
              <w:right w:val="single" w:color="auto" w:sz="4" w:space="0"/>
            </w:tcBorders>
          </w:tcPr>
          <w:p>
            <w:pPr>
              <w:spacing w:line="380" w:lineRule="exact"/>
              <w:ind w:right="-88"/>
              <w:rPr>
                <w:rFonts w:ascii="仿宋_GB2312" w:hAnsi="仿宋" w:eastAsia="仿宋_GB2312"/>
                <w:sz w:val="24"/>
                <w:szCs w:val="20"/>
              </w:rPr>
            </w:pPr>
            <w:r>
              <w:rPr>
                <w:rFonts w:ascii="仿宋_GB2312" w:hAnsi="仿宋" w:eastAsia="仿宋_GB2312"/>
                <w:sz w:val="24"/>
                <w:szCs w:val="20"/>
              </w:rPr>
              <w:t>省级教育行政部门意见</w:t>
            </w:r>
            <w:r>
              <w:rPr>
                <w:rFonts w:hint="eastAsia" w:ascii="仿宋_GB2312" w:hAnsi="仿宋" w:eastAsia="仿宋_GB2312"/>
                <w:sz w:val="24"/>
                <w:szCs w:val="20"/>
              </w:rPr>
              <w:t>（公章）：</w:t>
            </w:r>
          </w:p>
          <w:p>
            <w:pPr>
              <w:spacing w:line="380" w:lineRule="exact"/>
              <w:ind w:right="-88"/>
              <w:rPr>
                <w:rFonts w:ascii="仿宋_GB2312" w:hAnsi="仿宋" w:eastAsia="仿宋_GB2312"/>
                <w:sz w:val="24"/>
                <w:szCs w:val="20"/>
              </w:rPr>
            </w:pPr>
          </w:p>
          <w:p>
            <w:pPr>
              <w:spacing w:line="380" w:lineRule="exact"/>
              <w:ind w:right="-88"/>
              <w:rPr>
                <w:rFonts w:ascii="仿宋_GB2312" w:hAnsi="仿宋" w:eastAsia="仿宋_GB2312"/>
                <w:sz w:val="24"/>
                <w:szCs w:val="20"/>
              </w:rPr>
            </w:pPr>
          </w:p>
          <w:p>
            <w:pPr>
              <w:spacing w:line="380" w:lineRule="exact"/>
              <w:ind w:right="-88"/>
              <w:rPr>
                <w:rFonts w:ascii="仿宋_GB2312" w:hAnsi="仿宋" w:eastAsia="仿宋_GB2312"/>
                <w:sz w:val="24"/>
                <w:szCs w:val="20"/>
              </w:rPr>
            </w:pPr>
          </w:p>
          <w:p>
            <w:pPr>
              <w:spacing w:line="380" w:lineRule="exact"/>
              <w:ind w:right="-88"/>
              <w:rPr>
                <w:rFonts w:ascii="仿宋_GB2312" w:hAnsi="仿宋" w:eastAsia="仿宋_GB2312"/>
                <w:sz w:val="24"/>
                <w:szCs w:val="20"/>
              </w:rPr>
            </w:pPr>
          </w:p>
          <w:p>
            <w:pPr>
              <w:spacing w:line="380" w:lineRule="exact"/>
              <w:ind w:right="-88"/>
              <w:rPr>
                <w:rFonts w:ascii="仿宋_GB2312" w:hAnsi="仿宋" w:eastAsia="仿宋_GB2312"/>
                <w:sz w:val="24"/>
                <w:szCs w:val="20"/>
              </w:rPr>
            </w:pPr>
          </w:p>
          <w:p>
            <w:pPr>
              <w:spacing w:line="380" w:lineRule="exact"/>
              <w:ind w:right="-88" w:firstLine="1425" w:firstLineChars="594"/>
              <w:rPr>
                <w:rFonts w:ascii="仿宋_GB2312" w:hAnsi="仿宋" w:eastAsia="仿宋_GB2312"/>
                <w:sz w:val="24"/>
                <w:szCs w:val="20"/>
              </w:rPr>
            </w:pPr>
          </w:p>
          <w:p>
            <w:pPr>
              <w:spacing w:line="380" w:lineRule="exact"/>
              <w:ind w:right="-88" w:firstLine="1920" w:firstLineChars="800"/>
              <w:rPr>
                <w:rFonts w:ascii="仿宋_GB2312" w:hAnsi="仿宋" w:eastAsia="仿宋_GB2312"/>
                <w:sz w:val="24"/>
                <w:szCs w:val="20"/>
              </w:rPr>
            </w:pPr>
            <w:r>
              <w:rPr>
                <w:rFonts w:hint="eastAsia" w:ascii="仿宋_GB2312" w:hAnsi="仿宋" w:eastAsia="仿宋_GB2312"/>
                <w:sz w:val="24"/>
                <w:szCs w:val="20"/>
              </w:rPr>
              <w:t>年  月  日</w:t>
            </w:r>
          </w:p>
        </w:tc>
      </w:tr>
    </w:tbl>
    <w:p>
      <w:pPr>
        <w:ind w:right="-87"/>
        <w:rPr>
          <w:rFonts w:ascii="仿宋_GB2312" w:hAnsi="仿宋" w:eastAsia="仿宋_GB2312"/>
          <w:sz w:val="24"/>
          <w:szCs w:val="20"/>
        </w:rPr>
      </w:pPr>
      <w:r>
        <w:rPr>
          <w:rFonts w:hint="eastAsia" w:ascii="仿宋_GB2312" w:hAnsi="仿宋" w:eastAsia="仿宋_GB2312"/>
          <w:sz w:val="24"/>
          <w:szCs w:val="20"/>
        </w:rPr>
        <w:t>注：1.本表一式两份，省教育厅、拟接收学校各存一份；</w:t>
      </w:r>
    </w:p>
    <w:p>
      <w:pPr>
        <w:ind w:firstLine="525"/>
        <w:rPr>
          <w:rFonts w:ascii="Times New Roman" w:hAnsi="Times New Roman" w:eastAsia="仿宋_GB2312"/>
          <w:sz w:val="32"/>
          <w:szCs w:val="20"/>
        </w:rPr>
      </w:pPr>
      <w:r>
        <w:rPr>
          <w:rFonts w:hint="eastAsia" w:ascii="仿宋_GB2312" w:hAnsi="仿宋" w:eastAsia="仿宋_GB2312"/>
          <w:sz w:val="24"/>
          <w:szCs w:val="20"/>
        </w:rPr>
        <w:t>2.随表附上学生服役期间立功证书等相关证明材料；</w:t>
      </w:r>
    </w:p>
    <w:p>
      <w:pPr>
        <w:widowControl/>
        <w:spacing w:line="560" w:lineRule="exact"/>
        <w:rPr>
          <w:rFonts w:ascii="仿宋_GB2312" w:hAnsi="仿宋" w:cs="宋体"/>
          <w:sz w:val="24"/>
          <w:szCs w:val="24"/>
        </w:rPr>
      </w:pPr>
    </w:p>
    <w:p>
      <w:pPr>
        <w:widowControl/>
        <w:spacing w:line="560" w:lineRule="exact"/>
        <w:rPr>
          <w:rFonts w:ascii="仿宋_GB2312" w:hAnsi="仿宋" w:cs="宋体"/>
          <w:sz w:val="24"/>
          <w:szCs w:val="24"/>
        </w:rPr>
      </w:pPr>
    </w:p>
    <w:p>
      <w:pPr>
        <w:widowControl/>
        <w:spacing w:line="56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附件3</w:t>
      </w:r>
    </w:p>
    <w:p>
      <w:pPr>
        <w:widowControl/>
        <w:spacing w:line="560" w:lineRule="exact"/>
        <w:jc w:val="center"/>
        <w:rPr>
          <w:rFonts w:ascii="黑体" w:hAnsi="黑体" w:eastAsia="黑体" w:cs="黑体"/>
          <w:sz w:val="28"/>
          <w:szCs w:val="28"/>
        </w:rPr>
      </w:pPr>
      <w:r>
        <w:rPr>
          <w:rFonts w:hint="eastAsia" w:ascii="黑体" w:hAnsi="黑体" w:eastAsia="黑体" w:cs="黑体"/>
          <w:sz w:val="28"/>
          <w:szCs w:val="28"/>
        </w:rPr>
        <w:t>武汉生物工程学院</w:t>
      </w:r>
      <w:r>
        <w:rPr>
          <w:rFonts w:ascii="黑体" w:hAnsi="黑体" w:eastAsia="黑体" w:cs="黑体"/>
          <w:sz w:val="28"/>
          <w:szCs w:val="28"/>
        </w:rPr>
        <w:t>2021</w:t>
      </w:r>
      <w:r>
        <w:rPr>
          <w:rFonts w:hint="eastAsia" w:ascii="黑体" w:hAnsi="黑体" w:eastAsia="黑体" w:cs="黑体"/>
          <w:sz w:val="28"/>
          <w:szCs w:val="28"/>
        </w:rPr>
        <w:t>年普通专升本各专业考试科目</w:t>
      </w:r>
    </w:p>
    <w:tbl>
      <w:tblPr>
        <w:tblStyle w:val="3"/>
        <w:tblW w:w="8640" w:type="dxa"/>
        <w:jc w:val="center"/>
        <w:tblLayout w:type="autofit"/>
        <w:tblCellMar>
          <w:top w:w="0" w:type="dxa"/>
          <w:left w:w="108" w:type="dxa"/>
          <w:bottom w:w="0" w:type="dxa"/>
          <w:right w:w="108" w:type="dxa"/>
        </w:tblCellMar>
      </w:tblPr>
      <w:tblGrid>
        <w:gridCol w:w="2173"/>
        <w:gridCol w:w="992"/>
        <w:gridCol w:w="941"/>
        <w:gridCol w:w="4534"/>
      </w:tblGrid>
      <w:tr>
        <w:tblPrEx>
          <w:tblCellMar>
            <w:top w:w="0" w:type="dxa"/>
            <w:left w:w="108" w:type="dxa"/>
            <w:bottom w:w="0" w:type="dxa"/>
            <w:right w:w="108" w:type="dxa"/>
          </w:tblCellMar>
        </w:tblPrEx>
        <w:trPr>
          <w:trHeight w:val="420" w:hRule="atLeast"/>
          <w:jc w:val="center"/>
        </w:trPr>
        <w:tc>
          <w:tcPr>
            <w:tcW w:w="2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招生专业</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专业</w:t>
            </w:r>
          </w:p>
        </w:tc>
        <w:tc>
          <w:tcPr>
            <w:tcW w:w="54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考试科目</w:t>
            </w:r>
          </w:p>
        </w:tc>
      </w:tr>
      <w:tr>
        <w:tblPrEx>
          <w:tblCellMar>
            <w:top w:w="0" w:type="dxa"/>
            <w:left w:w="108" w:type="dxa"/>
            <w:bottom w:w="0" w:type="dxa"/>
            <w:right w:w="108" w:type="dxa"/>
          </w:tblCellMar>
        </w:tblPrEx>
        <w:trPr>
          <w:trHeight w:val="420" w:hRule="atLeast"/>
          <w:jc w:val="center"/>
        </w:trPr>
        <w:tc>
          <w:tcPr>
            <w:tcW w:w="2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szCs w:val="24"/>
              </w:rPr>
            </w:pP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公共课</w:t>
            </w: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专业课</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生物工程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83001</w:t>
            </w:r>
          </w:p>
        </w:tc>
        <w:tc>
          <w:tcPr>
            <w:tcW w:w="94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英语</w:t>
            </w: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生物学基础综合</w:t>
            </w:r>
          </w:p>
          <w:p>
            <w:pPr>
              <w:widowControl/>
              <w:jc w:val="center"/>
              <w:rPr>
                <w:rFonts w:ascii="宋体" w:hAnsi="宋体" w:cs="宋体"/>
                <w:color w:val="000000"/>
                <w:kern w:val="0"/>
                <w:szCs w:val="21"/>
              </w:rPr>
            </w:pPr>
            <w:r>
              <w:rPr>
                <w:rFonts w:hint="eastAsia" w:ascii="宋体" w:hAnsi="宋体" w:cs="宋体"/>
                <w:color w:val="000000"/>
                <w:kern w:val="0"/>
                <w:szCs w:val="21"/>
              </w:rPr>
              <w:t>（微生物学、生物化学）</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制药工程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81302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药学基础综合</w:t>
            </w:r>
          </w:p>
          <w:p>
            <w:pPr>
              <w:widowControl/>
              <w:jc w:val="center"/>
              <w:rPr>
                <w:rFonts w:ascii="宋体" w:hAnsi="宋体" w:cs="宋体"/>
                <w:color w:val="000000"/>
                <w:kern w:val="0"/>
                <w:szCs w:val="21"/>
              </w:rPr>
            </w:pPr>
            <w:r>
              <w:rPr>
                <w:rFonts w:hint="eastAsia" w:ascii="宋体" w:hAnsi="宋体" w:cs="宋体"/>
                <w:color w:val="000000"/>
                <w:kern w:val="0"/>
                <w:szCs w:val="21"/>
              </w:rPr>
              <w:t>（药剂学、药物分析）</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中药学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100801</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中药学基础综合</w:t>
            </w:r>
          </w:p>
          <w:p>
            <w:pPr>
              <w:widowControl/>
              <w:jc w:val="center"/>
              <w:rPr>
                <w:rFonts w:ascii="宋体" w:hAnsi="宋体" w:cs="宋体"/>
                <w:color w:val="000000"/>
                <w:kern w:val="0"/>
                <w:szCs w:val="21"/>
              </w:rPr>
            </w:pPr>
            <w:r>
              <w:rPr>
                <w:rFonts w:hint="eastAsia" w:ascii="宋体" w:hAnsi="宋体" w:cs="宋体"/>
                <w:color w:val="000000"/>
                <w:kern w:val="0"/>
                <w:szCs w:val="21"/>
              </w:rPr>
              <w:t>（药用植物学、生药学）</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财务管理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120204</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财务基础综合</w:t>
            </w:r>
          </w:p>
          <w:p>
            <w:pPr>
              <w:widowControl/>
              <w:jc w:val="center"/>
              <w:rPr>
                <w:rFonts w:ascii="宋体" w:hAnsi="宋体" w:cs="宋体"/>
                <w:color w:val="000000"/>
                <w:kern w:val="0"/>
                <w:szCs w:val="21"/>
              </w:rPr>
            </w:pPr>
            <w:r>
              <w:rPr>
                <w:rFonts w:hint="eastAsia" w:ascii="宋体" w:hAnsi="宋体" w:cs="宋体"/>
                <w:color w:val="000000"/>
                <w:kern w:val="0"/>
                <w:szCs w:val="21"/>
              </w:rPr>
              <w:t>（基础会计、财务管理）</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市场营销</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120202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营销基础综合</w:t>
            </w:r>
          </w:p>
          <w:p>
            <w:pPr>
              <w:widowControl/>
              <w:jc w:val="center"/>
              <w:rPr>
                <w:rFonts w:ascii="宋体" w:hAnsi="宋体" w:cs="宋体"/>
                <w:color w:val="000000"/>
                <w:kern w:val="0"/>
                <w:szCs w:val="21"/>
              </w:rPr>
            </w:pPr>
            <w:r>
              <w:rPr>
                <w:rFonts w:hint="eastAsia" w:ascii="宋体" w:hAnsi="宋体" w:cs="宋体"/>
                <w:color w:val="000000"/>
                <w:kern w:val="0"/>
                <w:szCs w:val="21"/>
              </w:rPr>
              <w:t>（市场营销、消费者行为学）</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文化产业管理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120210</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文化产业管理基础综合</w:t>
            </w:r>
          </w:p>
          <w:p>
            <w:pPr>
              <w:widowControl/>
              <w:jc w:val="center"/>
              <w:rPr>
                <w:rFonts w:ascii="宋体" w:hAnsi="宋体" w:cs="宋体"/>
                <w:color w:val="000000"/>
                <w:kern w:val="0"/>
                <w:szCs w:val="21"/>
              </w:rPr>
            </w:pPr>
            <w:r>
              <w:rPr>
                <w:rFonts w:hint="eastAsia" w:ascii="宋体" w:hAnsi="宋体" w:cs="宋体"/>
                <w:color w:val="000000"/>
                <w:kern w:val="0"/>
                <w:szCs w:val="21"/>
              </w:rPr>
              <w:t>（管理学原理、大学语文）</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机械设计制造及其自动化</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80202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机械设计基础综合</w:t>
            </w:r>
          </w:p>
          <w:p>
            <w:pPr>
              <w:widowControl/>
              <w:jc w:val="center"/>
              <w:rPr>
                <w:rFonts w:ascii="宋体" w:hAnsi="宋体" w:cs="宋体"/>
                <w:color w:val="000000"/>
                <w:kern w:val="0"/>
                <w:szCs w:val="21"/>
              </w:rPr>
            </w:pPr>
            <w:r>
              <w:rPr>
                <w:rFonts w:hint="eastAsia" w:ascii="宋体" w:hAnsi="宋体" w:cs="宋体"/>
                <w:color w:val="000000"/>
                <w:kern w:val="0"/>
                <w:szCs w:val="21"/>
              </w:rPr>
              <w:t>（工程力学、机械设计基础）</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土木工程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81001</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土木工程基础综合</w:t>
            </w:r>
          </w:p>
          <w:p>
            <w:pPr>
              <w:widowControl/>
              <w:jc w:val="center"/>
              <w:rPr>
                <w:rFonts w:ascii="宋体" w:hAnsi="宋体" w:cs="宋体"/>
                <w:color w:val="000000"/>
                <w:kern w:val="0"/>
                <w:szCs w:val="21"/>
              </w:rPr>
            </w:pPr>
            <w:r>
              <w:rPr>
                <w:rFonts w:cs="宋体"/>
                <w:color w:val="000000"/>
                <w:kern w:val="0"/>
                <w:szCs w:val="21"/>
              </w:rPr>
              <w:t>(</w:t>
            </w:r>
            <w:r>
              <w:rPr>
                <w:rFonts w:hint="eastAsia" w:ascii="宋体" w:hAnsi="宋体" w:cs="宋体"/>
                <w:color w:val="000000"/>
                <w:kern w:val="0"/>
                <w:szCs w:val="21"/>
              </w:rPr>
              <w:t>建筑材料、建筑施工技术</w:t>
            </w:r>
            <w:r>
              <w:rPr>
                <w:rFonts w:cs="宋体"/>
                <w:color w:val="000000"/>
                <w:kern w:val="0"/>
                <w:szCs w:val="21"/>
              </w:rPr>
              <w:t>)</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工程造价</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120105</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工程造价基础综合</w:t>
            </w:r>
          </w:p>
          <w:p>
            <w:pPr>
              <w:widowControl/>
              <w:jc w:val="center"/>
              <w:rPr>
                <w:rFonts w:ascii="宋体" w:hAnsi="宋体" w:cs="宋体"/>
                <w:color w:val="000000"/>
                <w:kern w:val="0"/>
                <w:szCs w:val="21"/>
              </w:rPr>
            </w:pPr>
            <w:r>
              <w:rPr>
                <w:rFonts w:cs="宋体"/>
                <w:color w:val="000000"/>
                <w:kern w:val="0"/>
                <w:szCs w:val="21"/>
              </w:rPr>
              <w:t>(</w:t>
            </w:r>
            <w:r>
              <w:rPr>
                <w:rFonts w:hint="eastAsia" w:ascii="宋体" w:hAnsi="宋体" w:cs="宋体"/>
                <w:color w:val="000000"/>
                <w:kern w:val="0"/>
                <w:szCs w:val="21"/>
              </w:rPr>
              <w:t>房屋构造、建筑制图</w:t>
            </w:r>
            <w:r>
              <w:rPr>
                <w:rFonts w:cs="宋体"/>
                <w:color w:val="000000"/>
                <w:kern w:val="0"/>
                <w:szCs w:val="21"/>
              </w:rPr>
              <w:t>)</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食品科学与工程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82701</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食品科学与工程基础综合</w:t>
            </w:r>
          </w:p>
          <w:p>
            <w:pPr>
              <w:widowControl/>
              <w:jc w:val="center"/>
              <w:rPr>
                <w:rFonts w:ascii="宋体" w:hAnsi="宋体" w:cs="宋体"/>
                <w:color w:val="000000"/>
                <w:kern w:val="0"/>
                <w:szCs w:val="21"/>
              </w:rPr>
            </w:pPr>
            <w:r>
              <w:rPr>
                <w:rFonts w:hint="eastAsia" w:ascii="宋体" w:hAnsi="宋体" w:cs="宋体"/>
                <w:color w:val="000000"/>
                <w:kern w:val="0"/>
                <w:szCs w:val="21"/>
              </w:rPr>
              <w:t>（食品化学、食品分析）</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园林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90502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园林基础综合</w:t>
            </w:r>
          </w:p>
          <w:p>
            <w:pPr>
              <w:widowControl/>
              <w:jc w:val="center"/>
              <w:rPr>
                <w:rFonts w:ascii="宋体" w:hAnsi="宋体" w:cs="宋体"/>
                <w:color w:val="000000"/>
                <w:kern w:val="0"/>
                <w:szCs w:val="21"/>
              </w:rPr>
            </w:pPr>
            <w:r>
              <w:rPr>
                <w:rFonts w:hint="eastAsia" w:ascii="宋体" w:hAnsi="宋体" w:cs="宋体"/>
                <w:color w:val="000000"/>
                <w:kern w:val="0"/>
                <w:szCs w:val="21"/>
              </w:rPr>
              <w:t>（园林树木学、园林设计）</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环境工程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82502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环境工程基础综合</w:t>
            </w:r>
          </w:p>
          <w:p>
            <w:pPr>
              <w:widowControl/>
              <w:jc w:val="center"/>
              <w:rPr>
                <w:rFonts w:ascii="宋体" w:hAnsi="宋体" w:cs="宋体"/>
                <w:color w:val="000000"/>
                <w:kern w:val="0"/>
                <w:szCs w:val="21"/>
              </w:rPr>
            </w:pPr>
            <w:r>
              <w:rPr>
                <w:rFonts w:cs="宋体"/>
                <w:color w:val="000000"/>
                <w:kern w:val="0"/>
                <w:szCs w:val="21"/>
              </w:rPr>
              <w:t>(</w:t>
            </w:r>
            <w:r>
              <w:rPr>
                <w:rFonts w:hint="eastAsia" w:ascii="宋体" w:hAnsi="宋体" w:cs="宋体"/>
                <w:color w:val="000000"/>
                <w:kern w:val="0"/>
                <w:szCs w:val="21"/>
              </w:rPr>
              <w:t>水污染控制工程、环境监测</w:t>
            </w:r>
            <w:r>
              <w:rPr>
                <w:rFonts w:cs="宋体"/>
                <w:color w:val="000000"/>
                <w:kern w:val="0"/>
                <w:szCs w:val="21"/>
              </w:rPr>
              <w:t>)</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计算机科学与技术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80901</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程序设计基础综合</w:t>
            </w:r>
          </w:p>
          <w:p>
            <w:pPr>
              <w:widowControl/>
              <w:jc w:val="center"/>
              <w:rPr>
                <w:rFonts w:ascii="宋体" w:hAnsi="宋体" w:cs="宋体"/>
                <w:color w:val="000000"/>
                <w:kern w:val="0"/>
                <w:szCs w:val="21"/>
              </w:rPr>
            </w:pPr>
            <w:r>
              <w:rPr>
                <w:rFonts w:hint="eastAsia" w:ascii="宋体" w:hAnsi="宋体" w:cs="宋体"/>
                <w:color w:val="000000"/>
                <w:kern w:val="0"/>
                <w:szCs w:val="21"/>
              </w:rPr>
              <w:t>（</w:t>
            </w:r>
            <w:r>
              <w:rPr>
                <w:rFonts w:cs="宋体"/>
                <w:color w:val="000000"/>
                <w:kern w:val="0"/>
                <w:szCs w:val="21"/>
              </w:rPr>
              <w:t>MySQL</w:t>
            </w:r>
            <w:r>
              <w:rPr>
                <w:rFonts w:hint="eastAsia" w:ascii="宋体" w:hAnsi="宋体" w:cs="宋体"/>
                <w:color w:val="000000"/>
                <w:kern w:val="0"/>
                <w:szCs w:val="21"/>
              </w:rPr>
              <w:t>数据库、</w:t>
            </w:r>
            <w:r>
              <w:rPr>
                <w:rFonts w:cs="宋体"/>
                <w:color w:val="000000"/>
                <w:kern w:val="0"/>
                <w:szCs w:val="21"/>
              </w:rPr>
              <w:t>Java</w:t>
            </w:r>
            <w:r>
              <w:rPr>
                <w:rFonts w:hint="eastAsia" w:ascii="宋体" w:hAnsi="宋体" w:cs="宋体"/>
                <w:color w:val="000000"/>
                <w:kern w:val="0"/>
                <w:szCs w:val="21"/>
              </w:rPr>
              <w:t>语言程序设计）</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信息管理与信息系统</w:t>
            </w:r>
          </w:p>
        </w:tc>
        <w:tc>
          <w:tcPr>
            <w:tcW w:w="992" w:type="dxa"/>
            <w:tcBorders>
              <w:top w:val="nil"/>
              <w:left w:val="nil"/>
              <w:bottom w:val="nil"/>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120102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数据库与网页制作基础综合</w:t>
            </w:r>
          </w:p>
          <w:p>
            <w:pPr>
              <w:widowControl/>
              <w:jc w:val="center"/>
              <w:rPr>
                <w:rFonts w:ascii="宋体" w:hAnsi="宋体" w:cs="宋体"/>
                <w:color w:val="000000"/>
                <w:kern w:val="0"/>
                <w:szCs w:val="21"/>
              </w:rPr>
            </w:pPr>
            <w:r>
              <w:rPr>
                <w:rFonts w:hint="eastAsia" w:ascii="宋体" w:hAnsi="宋体" w:cs="宋体"/>
                <w:color w:val="000000"/>
                <w:kern w:val="0"/>
                <w:szCs w:val="21"/>
              </w:rPr>
              <w:t>（Access数据库、Dreamweaver CS6网页制作）</w:t>
            </w:r>
          </w:p>
        </w:tc>
      </w:tr>
      <w:tr>
        <w:tblPrEx>
          <w:tblCellMar>
            <w:top w:w="0" w:type="dxa"/>
            <w:left w:w="108" w:type="dxa"/>
            <w:bottom w:w="0" w:type="dxa"/>
            <w:right w:w="108" w:type="dxa"/>
          </w:tblCellMar>
        </w:tblPrEx>
        <w:trPr>
          <w:trHeight w:val="420" w:hRule="atLeast"/>
          <w:jc w:val="center"/>
        </w:trPr>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环境设计</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130503</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室内手绘快题设计</w:t>
            </w:r>
          </w:p>
          <w:p>
            <w:pPr>
              <w:widowControl/>
              <w:jc w:val="center"/>
              <w:rPr>
                <w:rFonts w:ascii="宋体" w:hAnsi="宋体" w:cs="宋体"/>
                <w:color w:val="000000"/>
                <w:kern w:val="0"/>
                <w:szCs w:val="21"/>
              </w:rPr>
            </w:pPr>
            <w:r>
              <w:rPr>
                <w:rFonts w:hint="eastAsia" w:ascii="宋体" w:hAnsi="宋体" w:cs="宋体"/>
                <w:color w:val="000000"/>
                <w:kern w:val="0"/>
                <w:szCs w:val="21"/>
              </w:rPr>
              <w:t>（设计知识综合应用）</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视觉传达设计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cs="宋体"/>
                <w:color w:val="000000"/>
                <w:kern w:val="0"/>
                <w:szCs w:val="21"/>
              </w:rPr>
              <w:t>130502</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平面手绘快题设计</w:t>
            </w:r>
          </w:p>
          <w:p>
            <w:pPr>
              <w:widowControl/>
              <w:jc w:val="center"/>
              <w:rPr>
                <w:rFonts w:ascii="宋体" w:hAnsi="宋体" w:cs="宋体"/>
                <w:color w:val="000000"/>
                <w:kern w:val="0"/>
                <w:szCs w:val="21"/>
              </w:rPr>
            </w:pPr>
            <w:r>
              <w:rPr>
                <w:rFonts w:hint="eastAsia" w:ascii="宋体" w:hAnsi="宋体" w:cs="宋体"/>
                <w:color w:val="000000"/>
                <w:kern w:val="0"/>
                <w:szCs w:val="21"/>
              </w:rPr>
              <w:t>（设计知识综合应用）</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社会体育指导与管理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40203</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体育基础综合</w:t>
            </w:r>
          </w:p>
          <w:p>
            <w:pPr>
              <w:widowControl/>
              <w:jc w:val="center"/>
              <w:rPr>
                <w:rFonts w:ascii="宋体" w:hAnsi="宋体" w:cs="宋体"/>
                <w:color w:val="000000"/>
                <w:kern w:val="0"/>
                <w:szCs w:val="21"/>
              </w:rPr>
            </w:pPr>
            <w:r>
              <w:rPr>
                <w:rFonts w:hint="eastAsia" w:ascii="宋体" w:hAnsi="宋体" w:cs="宋体"/>
                <w:color w:val="000000"/>
                <w:kern w:val="0"/>
                <w:szCs w:val="21"/>
              </w:rPr>
              <w:t>（运动解剖学、运动生理学）</w:t>
            </w:r>
          </w:p>
        </w:tc>
      </w:tr>
      <w:tr>
        <w:tblPrEx>
          <w:tblCellMar>
            <w:top w:w="0" w:type="dxa"/>
            <w:left w:w="108" w:type="dxa"/>
            <w:bottom w:w="0" w:type="dxa"/>
            <w:right w:w="108" w:type="dxa"/>
          </w:tblCellMar>
        </w:tblPrEx>
        <w:trPr>
          <w:trHeight w:val="420" w:hRule="atLeast"/>
          <w:jc w:val="center"/>
        </w:trPr>
        <w:tc>
          <w:tcPr>
            <w:tcW w:w="21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英语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21"/>
              </w:rPr>
            </w:pPr>
            <w:r>
              <w:rPr>
                <w:rFonts w:hint="eastAsia" w:cs="宋体"/>
                <w:color w:val="000000"/>
                <w:kern w:val="0"/>
                <w:szCs w:val="21"/>
              </w:rPr>
              <w:t>0</w:t>
            </w:r>
            <w:r>
              <w:rPr>
                <w:rFonts w:cs="宋体"/>
                <w:color w:val="000000"/>
                <w:kern w:val="0"/>
                <w:szCs w:val="21"/>
              </w:rPr>
              <w:t>50201</w:t>
            </w: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英语基础综合</w:t>
            </w:r>
          </w:p>
          <w:p>
            <w:pPr>
              <w:widowControl/>
              <w:jc w:val="center"/>
              <w:rPr>
                <w:rFonts w:ascii="宋体" w:hAnsi="宋体" w:cs="宋体"/>
                <w:color w:val="000000"/>
                <w:kern w:val="0"/>
                <w:szCs w:val="21"/>
              </w:rPr>
            </w:pPr>
            <w:r>
              <w:rPr>
                <w:rFonts w:hint="eastAsia" w:ascii="宋体" w:hAnsi="宋体" w:cs="宋体"/>
                <w:color w:val="000000"/>
                <w:kern w:val="0"/>
                <w:szCs w:val="21"/>
              </w:rPr>
              <w:t>（英语听说、综合英语）</w:t>
            </w:r>
          </w:p>
        </w:tc>
      </w:tr>
    </w:tbl>
    <w:p>
      <w:pPr>
        <w:spacing w:line="600" w:lineRule="exact"/>
        <w:jc w:val="left"/>
        <w:rPr>
          <w:rFonts w:ascii="黑体" w:hAnsi="黑体" w:eastAsia="黑体"/>
          <w:color w:val="000000"/>
          <w:sz w:val="32"/>
          <w:szCs w:val="32"/>
        </w:rPr>
      </w:pPr>
      <w:r>
        <w:rPr>
          <w:rFonts w:hint="eastAsia" w:ascii="黑体" w:hAnsi="黑体" w:eastAsia="黑体" w:cs="仿宋_GB2312"/>
          <w:color w:val="000000"/>
          <w:sz w:val="32"/>
          <w:szCs w:val="32"/>
        </w:rPr>
        <w:t>附件</w:t>
      </w:r>
      <w:r>
        <w:rPr>
          <w:rFonts w:ascii="黑体" w:hAnsi="黑体" w:eastAsia="黑体" w:cs="仿宋_GB2312"/>
          <w:color w:val="000000"/>
          <w:sz w:val="32"/>
          <w:szCs w:val="32"/>
        </w:rPr>
        <w:t>4</w:t>
      </w:r>
    </w:p>
    <w:p>
      <w:pPr>
        <w:spacing w:line="600" w:lineRule="exact"/>
        <w:jc w:val="center"/>
        <w:rPr>
          <w:rFonts w:ascii="黑体" w:hAnsi="黑体" w:eastAsia="黑体"/>
          <w:color w:val="000000"/>
          <w:sz w:val="28"/>
          <w:szCs w:val="28"/>
        </w:rPr>
      </w:pPr>
      <w:r>
        <w:rPr>
          <w:rFonts w:hint="eastAsia" w:ascii="黑体" w:hAnsi="黑体" w:eastAsia="黑体" w:cs="黑体"/>
          <w:color w:val="000000"/>
          <w:sz w:val="28"/>
          <w:szCs w:val="28"/>
        </w:rPr>
        <w:t>武汉生物工程学院</w:t>
      </w:r>
      <w:r>
        <w:rPr>
          <w:rFonts w:ascii="黑体" w:hAnsi="黑体" w:eastAsia="黑体" w:cs="黑体"/>
          <w:color w:val="000000"/>
          <w:sz w:val="28"/>
          <w:szCs w:val="28"/>
        </w:rPr>
        <w:t>2021</w:t>
      </w:r>
      <w:r>
        <w:rPr>
          <w:rFonts w:hint="eastAsia" w:ascii="黑体" w:hAnsi="黑体" w:eastAsia="黑体" w:cs="黑体"/>
          <w:color w:val="000000"/>
          <w:sz w:val="28"/>
          <w:szCs w:val="28"/>
        </w:rPr>
        <w:t>年普通专升本考试各专业参考教材</w:t>
      </w:r>
    </w:p>
    <w:tbl>
      <w:tblPr>
        <w:tblStyle w:val="3"/>
        <w:tblW w:w="9217" w:type="dxa"/>
        <w:jc w:val="center"/>
        <w:tblLayout w:type="fixed"/>
        <w:tblCellMar>
          <w:top w:w="0" w:type="dxa"/>
          <w:left w:w="0" w:type="dxa"/>
          <w:bottom w:w="0" w:type="dxa"/>
          <w:right w:w="0" w:type="dxa"/>
        </w:tblCellMar>
      </w:tblPr>
      <w:tblGrid>
        <w:gridCol w:w="2697"/>
        <w:gridCol w:w="6520"/>
      </w:tblGrid>
      <w:tr>
        <w:tblPrEx>
          <w:tblCellMar>
            <w:top w:w="0" w:type="dxa"/>
            <w:left w:w="0" w:type="dxa"/>
            <w:bottom w:w="0" w:type="dxa"/>
            <w:right w:w="0" w:type="dxa"/>
          </w:tblCellMar>
        </w:tblPrEx>
        <w:trPr>
          <w:trHeight w:val="445" w:hRule="atLeas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ind w:left="2650" w:hanging="2650"/>
              <w:jc w:val="center"/>
              <w:rPr>
                <w:rFonts w:hAnsi="宋体"/>
                <w:bCs/>
                <w:color w:val="000000"/>
                <w:sz w:val="24"/>
                <w:szCs w:val="24"/>
              </w:rPr>
            </w:pPr>
            <w:r>
              <w:rPr>
                <w:rFonts w:hint="eastAsia" w:hAnsi="宋体" w:cs="宋体"/>
                <w:bCs/>
                <w:color w:val="000000"/>
                <w:sz w:val="24"/>
                <w:szCs w:val="24"/>
              </w:rPr>
              <w:t>科目</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rPr>
                <w:rFonts w:hAnsi="宋体"/>
                <w:bCs/>
                <w:color w:val="000000"/>
                <w:sz w:val="24"/>
                <w:szCs w:val="24"/>
              </w:rPr>
            </w:pPr>
            <w:r>
              <w:rPr>
                <w:rFonts w:hint="eastAsia" w:hAnsi="宋体" w:cs="宋体"/>
                <w:bCs/>
                <w:color w:val="000000"/>
                <w:sz w:val="24"/>
                <w:szCs w:val="24"/>
              </w:rPr>
              <w:t>参考教材</w:t>
            </w:r>
          </w:p>
        </w:tc>
      </w:tr>
      <w:tr>
        <w:tblPrEx>
          <w:tblCellMar>
            <w:top w:w="0" w:type="dxa"/>
            <w:left w:w="0" w:type="dxa"/>
            <w:bottom w:w="0" w:type="dxa"/>
            <w:right w:w="0" w:type="dxa"/>
          </w:tblCellMar>
        </w:tblPrEx>
        <w:trPr>
          <w:trHeight w:val="487"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英语（公共课）</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w:t>
            </w:r>
            <w:r>
              <w:rPr>
                <w:rFonts w:hAnsi="宋体"/>
                <w:color w:val="000000"/>
              </w:rPr>
              <w:t>2021</w:t>
            </w:r>
            <w:r>
              <w:rPr>
                <w:rFonts w:hint="eastAsia" w:hAnsi="宋体" w:cs="宋体"/>
                <w:color w:val="000000"/>
              </w:rPr>
              <w:t>年普通专升本</w:t>
            </w:r>
            <w:r>
              <w:rPr>
                <w:rFonts w:hAnsi="宋体"/>
                <w:color w:val="000000"/>
              </w:rPr>
              <w:t>&lt;</w:t>
            </w:r>
            <w:r>
              <w:rPr>
                <w:rFonts w:hint="eastAsia" w:hAnsi="宋体" w:cs="宋体"/>
                <w:color w:val="000000"/>
              </w:rPr>
              <w:t>大学英语</w:t>
            </w:r>
            <w:r>
              <w:rPr>
                <w:rFonts w:hAnsi="宋体"/>
                <w:color w:val="000000"/>
              </w:rPr>
              <w:t>&gt;</w:t>
            </w:r>
            <w:r>
              <w:rPr>
                <w:rFonts w:hint="eastAsia" w:hAnsi="宋体" w:cs="宋体"/>
                <w:color w:val="000000"/>
              </w:rPr>
              <w:t>考试大纲》（附件</w:t>
            </w:r>
            <w:r>
              <w:rPr>
                <w:rFonts w:hAnsi="宋体"/>
                <w:color w:val="000000"/>
              </w:rPr>
              <w:t>5</w:t>
            </w:r>
            <w:r>
              <w:rPr>
                <w:rFonts w:hint="eastAsia" w:hAnsi="宋体" w:cs="宋体"/>
                <w:color w:val="000000"/>
              </w:rPr>
              <w:t>）</w:t>
            </w:r>
          </w:p>
        </w:tc>
      </w:tr>
      <w:tr>
        <w:tblPrEx>
          <w:tblCellMar>
            <w:top w:w="0" w:type="dxa"/>
            <w:left w:w="0" w:type="dxa"/>
            <w:bottom w:w="0" w:type="dxa"/>
            <w:right w:w="0" w:type="dxa"/>
          </w:tblCellMar>
        </w:tblPrEx>
        <w:trPr>
          <w:trHeight w:val="1841"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生物学基础综合</w:t>
            </w:r>
          </w:p>
          <w:p>
            <w:pPr>
              <w:spacing w:line="400" w:lineRule="exact"/>
              <w:jc w:val="center"/>
              <w:rPr>
                <w:rFonts w:hAnsi="宋体"/>
                <w:color w:val="000000"/>
              </w:rPr>
            </w:pPr>
            <w:r>
              <w:rPr>
                <w:rFonts w:hint="eastAsia" w:hAnsi="宋体" w:cs="宋体"/>
                <w:color w:val="000000"/>
              </w:rPr>
              <w:t>（微生物学、生物化学）</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olor w:val="000000"/>
              </w:rPr>
              <w:t>《微生物学》（第一版），关统伟主编，中国轻工业出版社，</w:t>
            </w:r>
          </w:p>
          <w:p>
            <w:pPr>
              <w:snapToGrid w:val="0"/>
              <w:spacing w:line="240" w:lineRule="atLeast"/>
              <w:jc w:val="left"/>
              <w:rPr>
                <w:rFonts w:hAnsi="宋体"/>
                <w:color w:val="000000"/>
              </w:rPr>
            </w:pPr>
            <w:r>
              <w:rPr>
                <w:rFonts w:hint="eastAsia" w:hAnsi="宋体"/>
                <w:color w:val="000000"/>
              </w:rPr>
              <w:t>ISBN：9787518420476</w:t>
            </w:r>
          </w:p>
          <w:p>
            <w:pPr>
              <w:snapToGrid w:val="0"/>
              <w:spacing w:line="240" w:lineRule="atLeast"/>
              <w:jc w:val="left"/>
              <w:rPr>
                <w:rFonts w:hAnsi="宋体"/>
                <w:color w:val="000000"/>
              </w:rPr>
            </w:pPr>
            <w:r>
              <w:rPr>
                <w:rFonts w:hint="eastAsia" w:hAnsi="宋体"/>
                <w:color w:val="000000"/>
              </w:rPr>
              <w:t>或《微生物学教程》（2011年4月第3版），周德庆主编，高等教育出版社，ISBN：9787040314045</w:t>
            </w:r>
          </w:p>
          <w:p>
            <w:pPr>
              <w:snapToGrid w:val="0"/>
              <w:spacing w:line="240" w:lineRule="atLeast"/>
              <w:jc w:val="left"/>
              <w:rPr>
                <w:rFonts w:hAnsi="宋体"/>
                <w:color w:val="000000"/>
              </w:rPr>
            </w:pPr>
            <w:r>
              <w:rPr>
                <w:rFonts w:hint="eastAsia" w:hAnsi="宋体"/>
                <w:color w:val="000000"/>
              </w:rPr>
              <w:t>《生物化学简明教程》（2015年8月第五版），张丽萍等主编，高等教育出版社，ISBN：9787040433111</w:t>
            </w:r>
          </w:p>
        </w:tc>
      </w:tr>
      <w:tr>
        <w:tblPrEx>
          <w:tblCellMar>
            <w:top w:w="0" w:type="dxa"/>
            <w:left w:w="0" w:type="dxa"/>
            <w:bottom w:w="0" w:type="dxa"/>
            <w:right w:w="0" w:type="dxa"/>
          </w:tblCellMar>
        </w:tblPrEx>
        <w:trPr>
          <w:trHeight w:val="1250"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药学基础综合</w:t>
            </w:r>
          </w:p>
          <w:p>
            <w:pPr>
              <w:spacing w:line="400" w:lineRule="exact"/>
              <w:jc w:val="center"/>
              <w:rPr>
                <w:rFonts w:hAnsi="宋体"/>
                <w:color w:val="000000"/>
              </w:rPr>
            </w:pPr>
            <w:r>
              <w:rPr>
                <w:rFonts w:hint="eastAsia" w:hAnsi="宋体" w:cs="宋体"/>
                <w:color w:val="000000"/>
              </w:rPr>
              <w:t>（药剂学、药物分析）</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《药剂学》，龙晓英，科学出版社，</w:t>
            </w:r>
            <w:r>
              <w:rPr>
                <w:rFonts w:hAnsi="宋体"/>
                <w:color w:val="000000"/>
              </w:rPr>
              <w:t>2016</w:t>
            </w:r>
            <w:r>
              <w:rPr>
                <w:rFonts w:hint="eastAsia" w:hAnsi="宋体" w:cs="宋体"/>
                <w:color w:val="000000"/>
              </w:rPr>
              <w:t>年第二版，</w:t>
            </w:r>
            <w:r>
              <w:rPr>
                <w:rFonts w:hAnsi="宋体"/>
                <w:color w:val="000000"/>
              </w:rPr>
              <w:t>ISBN: 9787030485441</w:t>
            </w:r>
          </w:p>
          <w:p>
            <w:pPr>
              <w:snapToGrid w:val="0"/>
              <w:spacing w:line="240" w:lineRule="atLeast"/>
              <w:jc w:val="left"/>
              <w:rPr>
                <w:rFonts w:hAnsi="宋体"/>
                <w:color w:val="000000"/>
              </w:rPr>
            </w:pPr>
            <w:r>
              <w:rPr>
                <w:rFonts w:hint="eastAsia" w:hAnsi="宋体" w:cs="宋体"/>
                <w:color w:val="000000"/>
              </w:rPr>
              <w:t>《药物分析》，杭太俊主编，人民卫生出版社，</w:t>
            </w:r>
            <w:r>
              <w:rPr>
                <w:rFonts w:hAnsi="宋体"/>
                <w:color w:val="000000"/>
              </w:rPr>
              <w:t>2017</w:t>
            </w:r>
            <w:r>
              <w:rPr>
                <w:rFonts w:hint="eastAsia" w:hAnsi="宋体" w:cs="宋体"/>
                <w:color w:val="000000"/>
              </w:rPr>
              <w:t>年第</w:t>
            </w:r>
            <w:r>
              <w:rPr>
                <w:rFonts w:hAnsi="宋体"/>
                <w:color w:val="000000"/>
              </w:rPr>
              <w:t>8</w:t>
            </w:r>
            <w:r>
              <w:rPr>
                <w:rFonts w:hint="eastAsia" w:hAnsi="宋体" w:cs="宋体"/>
                <w:color w:val="000000"/>
              </w:rPr>
              <w:t>版，</w:t>
            </w:r>
          </w:p>
          <w:p>
            <w:pPr>
              <w:snapToGrid w:val="0"/>
              <w:spacing w:line="240" w:lineRule="atLeast"/>
              <w:jc w:val="left"/>
              <w:rPr>
                <w:rFonts w:hAnsi="宋体"/>
                <w:color w:val="000000"/>
              </w:rPr>
            </w:pPr>
            <w:r>
              <w:rPr>
                <w:rFonts w:hAnsi="宋体"/>
                <w:color w:val="000000"/>
              </w:rPr>
              <w:t>ISBN: 9787117220293</w:t>
            </w:r>
          </w:p>
        </w:tc>
      </w:tr>
      <w:tr>
        <w:tblPrEx>
          <w:tblCellMar>
            <w:top w:w="0" w:type="dxa"/>
            <w:left w:w="0" w:type="dxa"/>
            <w:bottom w:w="0" w:type="dxa"/>
            <w:right w:w="0" w:type="dxa"/>
          </w:tblCellMar>
        </w:tblPrEx>
        <w:trPr>
          <w:trHeight w:val="1160"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中药学基础综合</w:t>
            </w:r>
          </w:p>
          <w:p>
            <w:pPr>
              <w:spacing w:line="400" w:lineRule="exact"/>
              <w:jc w:val="center"/>
              <w:rPr>
                <w:rFonts w:hAnsi="宋体"/>
                <w:color w:val="000000"/>
              </w:rPr>
            </w:pPr>
            <w:r>
              <w:rPr>
                <w:rFonts w:hint="eastAsia" w:hAnsi="宋体" w:cs="宋体"/>
                <w:color w:val="000000"/>
              </w:rPr>
              <w:t>（药用植物学、生药学）</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s="宋体"/>
                <w:color w:val="000000"/>
              </w:rPr>
            </w:pPr>
            <w:r>
              <w:rPr>
                <w:rFonts w:hint="eastAsia" w:hAnsi="宋体" w:cs="宋体"/>
                <w:color w:val="000000"/>
              </w:rPr>
              <w:t>《药用植物学》，黄宝康主编，人民卫生出版社，2016，</w:t>
            </w:r>
          </w:p>
          <w:p>
            <w:pPr>
              <w:snapToGrid w:val="0"/>
              <w:spacing w:line="240" w:lineRule="atLeast"/>
              <w:jc w:val="left"/>
              <w:rPr>
                <w:rFonts w:hAnsi="宋体" w:cs="宋体"/>
                <w:color w:val="000000"/>
              </w:rPr>
            </w:pPr>
            <w:r>
              <w:rPr>
                <w:rFonts w:hint="eastAsia" w:hAnsi="宋体" w:cs="宋体"/>
                <w:color w:val="000000"/>
              </w:rPr>
              <w:t>ISBN：9787117218740；</w:t>
            </w:r>
          </w:p>
          <w:p>
            <w:pPr>
              <w:snapToGrid w:val="0"/>
              <w:spacing w:line="240" w:lineRule="atLeast"/>
              <w:jc w:val="left"/>
              <w:rPr>
                <w:rFonts w:hAnsi="宋体" w:cs="宋体"/>
                <w:color w:val="000000"/>
              </w:rPr>
            </w:pPr>
            <w:r>
              <w:rPr>
                <w:rFonts w:hint="eastAsia" w:hAnsi="宋体" w:cs="宋体"/>
                <w:color w:val="000000"/>
              </w:rPr>
              <w:t>《生药学》，蔡少青，秦路平主编，人民卫生出版社，2016，</w:t>
            </w:r>
          </w:p>
          <w:p>
            <w:pPr>
              <w:snapToGrid w:val="0"/>
              <w:spacing w:line="240" w:lineRule="atLeast"/>
              <w:jc w:val="left"/>
              <w:rPr>
                <w:rFonts w:hAnsi="宋体"/>
                <w:color w:val="000000"/>
              </w:rPr>
            </w:pPr>
            <w:r>
              <w:rPr>
                <w:rFonts w:hint="eastAsia" w:hAnsi="宋体" w:cs="宋体"/>
                <w:color w:val="000000"/>
              </w:rPr>
              <w:t>ISBN：9787117223799</w:t>
            </w:r>
            <w:r>
              <w:rPr>
                <w:rFonts w:hAnsi="宋体" w:cs="宋体"/>
                <w:color w:val="000000"/>
              </w:rPr>
              <w:t xml:space="preserve"> </w:t>
            </w:r>
          </w:p>
        </w:tc>
      </w:tr>
      <w:tr>
        <w:tblPrEx>
          <w:tblCellMar>
            <w:top w:w="0" w:type="dxa"/>
            <w:left w:w="0" w:type="dxa"/>
            <w:bottom w:w="0" w:type="dxa"/>
            <w:right w:w="0" w:type="dxa"/>
          </w:tblCellMar>
        </w:tblPrEx>
        <w:trPr>
          <w:trHeight w:val="1285"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财务基础综合</w:t>
            </w:r>
          </w:p>
          <w:p>
            <w:pPr>
              <w:spacing w:line="400" w:lineRule="exact"/>
              <w:jc w:val="center"/>
              <w:rPr>
                <w:rFonts w:hAnsi="宋体"/>
                <w:color w:val="000000"/>
              </w:rPr>
            </w:pPr>
            <w:r>
              <w:rPr>
                <w:rFonts w:hint="eastAsia" w:hAnsi="宋体" w:cs="宋体"/>
                <w:color w:val="000000"/>
              </w:rPr>
              <w:t>（基础会计、财务管理）</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s="宋体"/>
                <w:color w:val="000000"/>
              </w:rPr>
            </w:pPr>
            <w:r>
              <w:rPr>
                <w:rFonts w:hint="eastAsia" w:hAnsi="宋体" w:cs="宋体"/>
                <w:color w:val="000000"/>
              </w:rPr>
              <w:t>《基础会计》，</w:t>
            </w:r>
            <w:r>
              <w:rPr>
                <w:rFonts w:hAnsi="宋体"/>
                <w:color w:val="000000"/>
              </w:rPr>
              <w:t>2013</w:t>
            </w:r>
            <w:r>
              <w:rPr>
                <w:rFonts w:hint="eastAsia" w:hAnsi="宋体" w:cs="宋体"/>
                <w:color w:val="000000"/>
              </w:rPr>
              <w:t>年</w:t>
            </w:r>
            <w:r>
              <w:rPr>
                <w:rFonts w:hAnsi="宋体"/>
                <w:color w:val="000000"/>
              </w:rPr>
              <w:t>06</w:t>
            </w:r>
            <w:r>
              <w:rPr>
                <w:rFonts w:hint="eastAsia" w:hAnsi="宋体" w:cs="宋体"/>
                <w:color w:val="000000"/>
              </w:rPr>
              <w:t>月，朱桂明、余磊，清华大学出版社，</w:t>
            </w:r>
          </w:p>
          <w:p>
            <w:pPr>
              <w:snapToGrid w:val="0"/>
              <w:spacing w:line="240" w:lineRule="atLeast"/>
              <w:jc w:val="left"/>
              <w:rPr>
                <w:rFonts w:hAnsi="宋体"/>
                <w:color w:val="000000"/>
              </w:rPr>
            </w:pPr>
            <w:r>
              <w:rPr>
                <w:rFonts w:hAnsi="宋体"/>
                <w:color w:val="000000"/>
              </w:rPr>
              <w:t>ISBN</w:t>
            </w:r>
            <w:r>
              <w:rPr>
                <w:rFonts w:hint="eastAsia" w:hAnsi="宋体" w:cs="宋体"/>
                <w:color w:val="000000"/>
              </w:rPr>
              <w:t>：</w:t>
            </w:r>
            <w:r>
              <w:rPr>
                <w:rFonts w:hAnsi="宋体"/>
                <w:color w:val="000000"/>
              </w:rPr>
              <w:t>9787302483045</w:t>
            </w:r>
          </w:p>
          <w:p>
            <w:pPr>
              <w:snapToGrid w:val="0"/>
              <w:spacing w:line="240" w:lineRule="atLeast"/>
              <w:jc w:val="left"/>
              <w:rPr>
                <w:rFonts w:hAnsi="宋体" w:cs="宋体"/>
                <w:color w:val="000000"/>
              </w:rPr>
            </w:pPr>
            <w:r>
              <w:rPr>
                <w:rFonts w:hint="eastAsia" w:hAnsi="宋体" w:cs="宋体"/>
                <w:color w:val="000000"/>
              </w:rPr>
              <w:t>《财务管理》，</w:t>
            </w:r>
            <w:r>
              <w:rPr>
                <w:rFonts w:hAnsi="宋体"/>
                <w:color w:val="000000"/>
              </w:rPr>
              <w:t>2019</w:t>
            </w:r>
            <w:r>
              <w:rPr>
                <w:rFonts w:hint="eastAsia" w:hAnsi="宋体" w:cs="宋体"/>
                <w:color w:val="000000"/>
              </w:rPr>
              <w:t>年</w:t>
            </w:r>
            <w:r>
              <w:rPr>
                <w:rFonts w:hAnsi="宋体"/>
                <w:color w:val="000000"/>
              </w:rPr>
              <w:t>03</w:t>
            </w:r>
            <w:r>
              <w:rPr>
                <w:rFonts w:hint="eastAsia" w:hAnsi="宋体" w:cs="宋体"/>
                <w:color w:val="000000"/>
              </w:rPr>
              <w:t>月，刘春华</w:t>
            </w:r>
            <w:r>
              <w:rPr>
                <w:rFonts w:hAnsi="宋体"/>
                <w:color w:val="000000"/>
              </w:rPr>
              <w:t xml:space="preserve"> </w:t>
            </w:r>
            <w:r>
              <w:rPr>
                <w:rFonts w:hint="eastAsia" w:hAnsi="宋体" w:cs="宋体"/>
                <w:color w:val="000000"/>
              </w:rPr>
              <w:t>徐欣，东北财经大学出版社，</w:t>
            </w:r>
          </w:p>
          <w:p>
            <w:pPr>
              <w:snapToGrid w:val="0"/>
              <w:spacing w:line="240" w:lineRule="atLeast"/>
              <w:jc w:val="left"/>
              <w:rPr>
                <w:rFonts w:hAnsi="宋体"/>
                <w:color w:val="000000"/>
              </w:rPr>
            </w:pPr>
            <w:r>
              <w:rPr>
                <w:rFonts w:hAnsi="宋体"/>
                <w:color w:val="000000"/>
              </w:rPr>
              <w:t>ISBN</w:t>
            </w:r>
            <w:r>
              <w:rPr>
                <w:rFonts w:hint="eastAsia" w:hAnsi="宋体" w:cs="宋体"/>
                <w:color w:val="000000"/>
              </w:rPr>
              <w:t>：</w:t>
            </w:r>
            <w:r>
              <w:rPr>
                <w:rFonts w:hAnsi="宋体"/>
                <w:color w:val="000000"/>
              </w:rPr>
              <w:t>9787565433061</w:t>
            </w:r>
          </w:p>
        </w:tc>
      </w:tr>
      <w:tr>
        <w:tblPrEx>
          <w:tblCellMar>
            <w:top w:w="0" w:type="dxa"/>
            <w:left w:w="0" w:type="dxa"/>
            <w:bottom w:w="0" w:type="dxa"/>
            <w:right w:w="0" w:type="dxa"/>
          </w:tblCellMar>
        </w:tblPrEx>
        <w:trPr>
          <w:trHeight w:val="1371"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宋体"/>
                <w:color w:val="000000"/>
              </w:rPr>
            </w:pPr>
            <w:r>
              <w:rPr>
                <w:rFonts w:hint="eastAsia" w:hAnsi="宋体" w:cs="宋体"/>
                <w:color w:val="000000"/>
              </w:rPr>
              <w:t>营销基础综合</w:t>
            </w:r>
          </w:p>
          <w:p>
            <w:pPr>
              <w:spacing w:line="400" w:lineRule="exact"/>
              <w:jc w:val="center"/>
              <w:rPr>
                <w:rFonts w:hAnsi="宋体"/>
                <w:color w:val="000000"/>
              </w:rPr>
            </w:pPr>
            <w:r>
              <w:rPr>
                <w:rFonts w:hint="eastAsia" w:hAnsi="宋体" w:cs="宋体"/>
                <w:color w:val="000000"/>
              </w:rPr>
              <w:t>（市场营销、消费者行为学）</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《市场营销：理论、实务、案例、实训》（第三版），彭石普，东北财经大学出版社有限责任公司出版，</w:t>
            </w:r>
            <w:r>
              <w:rPr>
                <w:rFonts w:hAnsi="宋体"/>
                <w:color w:val="000000"/>
              </w:rPr>
              <w:t>ISBN:9787565414428</w:t>
            </w:r>
          </w:p>
          <w:p>
            <w:pPr>
              <w:snapToGrid w:val="0"/>
              <w:spacing w:line="240" w:lineRule="atLeast"/>
              <w:jc w:val="left"/>
              <w:rPr>
                <w:rFonts w:hAnsi="宋体"/>
                <w:color w:val="000000"/>
              </w:rPr>
            </w:pPr>
            <w:r>
              <w:rPr>
                <w:rFonts w:hint="eastAsia" w:hAnsi="宋体" w:cs="宋体"/>
                <w:color w:val="000000"/>
              </w:rPr>
              <w:t>《消费者行为学：理论、实务、案例、实训》</w:t>
            </w:r>
            <w:r>
              <w:rPr>
                <w:rFonts w:hAnsi="宋体"/>
                <w:color w:val="000000"/>
              </w:rPr>
              <w:t>(</w:t>
            </w:r>
            <w:r>
              <w:rPr>
                <w:rFonts w:hint="eastAsia" w:hAnsi="宋体" w:cs="宋体"/>
                <w:color w:val="000000"/>
              </w:rPr>
              <w:t>第二版</w:t>
            </w:r>
            <w:r>
              <w:rPr>
                <w:rFonts w:hAnsi="宋体"/>
                <w:color w:val="000000"/>
              </w:rPr>
              <w:t>)</w:t>
            </w:r>
            <w:r>
              <w:rPr>
                <w:rFonts w:hint="eastAsia" w:hAnsi="宋体" w:cs="宋体"/>
                <w:color w:val="000000"/>
              </w:rPr>
              <w:t>，“十二五”职业教育国家规划教材，刘宝，高等教育出版社教材系列，</w:t>
            </w:r>
            <w:r>
              <w:rPr>
                <w:rFonts w:hAnsi="宋体"/>
                <w:color w:val="000000"/>
              </w:rPr>
              <w:t>ISBN:9787040415612</w:t>
            </w:r>
          </w:p>
        </w:tc>
      </w:tr>
      <w:tr>
        <w:tblPrEx>
          <w:tblCellMar>
            <w:top w:w="0" w:type="dxa"/>
            <w:left w:w="0" w:type="dxa"/>
            <w:bottom w:w="0" w:type="dxa"/>
            <w:right w:w="0" w:type="dxa"/>
          </w:tblCellMar>
        </w:tblPrEx>
        <w:trPr>
          <w:trHeight w:val="1167"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宋体"/>
                <w:color w:val="000000"/>
              </w:rPr>
            </w:pPr>
            <w:r>
              <w:rPr>
                <w:rFonts w:hint="eastAsia" w:hAnsi="宋体" w:cs="宋体"/>
                <w:color w:val="000000"/>
              </w:rPr>
              <w:t>文化产业管理基础综合</w:t>
            </w:r>
          </w:p>
          <w:p>
            <w:pPr>
              <w:spacing w:line="400" w:lineRule="exact"/>
              <w:jc w:val="center"/>
              <w:rPr>
                <w:rFonts w:hAnsi="宋体"/>
                <w:color w:val="000000"/>
              </w:rPr>
            </w:pPr>
            <w:r>
              <w:rPr>
                <w:rFonts w:hAnsi="宋体"/>
                <w:color w:val="000000"/>
              </w:rPr>
              <w:t xml:space="preserve"> </w:t>
            </w:r>
            <w:r>
              <w:rPr>
                <w:rFonts w:hint="eastAsia" w:hAnsi="宋体" w:cs="宋体"/>
                <w:color w:val="000000"/>
              </w:rPr>
              <w:t>（管理学原理、大学语文）</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ind w:left="210" w:hanging="210" w:hangingChars="100"/>
              <w:jc w:val="left"/>
              <w:rPr>
                <w:rFonts w:hAnsi="宋体"/>
                <w:color w:val="000000"/>
              </w:rPr>
            </w:pPr>
            <w:r>
              <w:rPr>
                <w:rFonts w:hint="eastAsia" w:hAnsi="宋体"/>
                <w:color w:val="000000"/>
              </w:rPr>
              <w:t>《管理学》，戴德锋，北京邮电大学出版社，ISBN:9787563546466</w:t>
            </w:r>
          </w:p>
          <w:p>
            <w:pPr>
              <w:snapToGrid w:val="0"/>
              <w:spacing w:line="240" w:lineRule="atLeast"/>
              <w:jc w:val="left"/>
              <w:rPr>
                <w:rFonts w:hAnsi="宋体"/>
                <w:color w:val="000000"/>
              </w:rPr>
            </w:pPr>
            <w:r>
              <w:rPr>
                <w:rFonts w:hint="eastAsia" w:hAnsi="宋体"/>
                <w:color w:val="000000"/>
              </w:rPr>
              <w:t>《大学语文》（第十一版）徐中玉，齐森华，谭帆，教育部高教司组编，华东师范大学出版社，ISBN：9787567577527</w:t>
            </w:r>
          </w:p>
        </w:tc>
      </w:tr>
      <w:tr>
        <w:tblPrEx>
          <w:tblCellMar>
            <w:top w:w="0" w:type="dxa"/>
            <w:left w:w="0" w:type="dxa"/>
            <w:bottom w:w="0" w:type="dxa"/>
            <w:right w:w="0" w:type="dxa"/>
          </w:tblCellMar>
        </w:tblPrEx>
        <w:trPr>
          <w:trHeight w:val="985"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宋体"/>
                <w:color w:val="000000"/>
              </w:rPr>
            </w:pPr>
            <w:r>
              <w:rPr>
                <w:rFonts w:hint="eastAsia" w:hAnsi="宋体" w:cs="宋体"/>
                <w:color w:val="000000"/>
              </w:rPr>
              <w:t>机械设计基础综合</w:t>
            </w:r>
          </w:p>
          <w:p>
            <w:pPr>
              <w:spacing w:line="400" w:lineRule="exact"/>
              <w:jc w:val="center"/>
              <w:rPr>
                <w:rFonts w:hAnsi="宋体"/>
                <w:color w:val="000000"/>
              </w:rPr>
            </w:pPr>
            <w:r>
              <w:rPr>
                <w:rFonts w:hint="eastAsia" w:hAnsi="宋体" w:cs="宋体"/>
                <w:color w:val="000000"/>
              </w:rPr>
              <w:t>（工程力学、机械设计基础）</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ind w:left="210" w:hanging="210" w:hangingChars="100"/>
              <w:jc w:val="left"/>
              <w:rPr>
                <w:rFonts w:hAnsi="宋体"/>
                <w:bCs/>
                <w:color w:val="000000"/>
              </w:rPr>
            </w:pPr>
            <w:r>
              <w:rPr>
                <w:rFonts w:hint="eastAsia" w:hAnsi="宋体"/>
                <w:bCs/>
                <w:color w:val="000000"/>
              </w:rPr>
              <w:t>《工程力学》，刘思俊，机械工业出版社，</w:t>
            </w:r>
            <w:r>
              <w:rPr>
                <w:rFonts w:hAnsi="宋体"/>
                <w:bCs/>
                <w:color w:val="000000"/>
              </w:rPr>
              <w:t>ISBN</w:t>
            </w:r>
            <w:r>
              <w:rPr>
                <w:rFonts w:hint="eastAsia" w:hAnsi="宋体"/>
                <w:bCs/>
                <w:color w:val="000000"/>
              </w:rPr>
              <w:t>：9787111493020</w:t>
            </w:r>
          </w:p>
          <w:p>
            <w:pPr>
              <w:snapToGrid w:val="0"/>
              <w:spacing w:line="240" w:lineRule="atLeast"/>
              <w:jc w:val="left"/>
              <w:rPr>
                <w:rFonts w:hAnsi="宋体"/>
                <w:color w:val="000000"/>
              </w:rPr>
            </w:pPr>
            <w:r>
              <w:rPr>
                <w:rFonts w:hint="eastAsia" w:hAnsi="宋体"/>
                <w:color w:val="000000"/>
              </w:rPr>
              <w:t>《机械设计基础》，陈秀宁主编，浙江大学出版社，</w:t>
            </w:r>
            <w:r>
              <w:rPr>
                <w:rFonts w:hAnsi="宋体"/>
                <w:color w:val="000000"/>
              </w:rPr>
              <w:t>ISBN</w:t>
            </w:r>
            <w:r>
              <w:rPr>
                <w:rFonts w:hint="eastAsia" w:hAnsi="宋体"/>
                <w:color w:val="000000"/>
              </w:rPr>
              <w:t>：</w:t>
            </w:r>
            <w:r>
              <w:rPr>
                <w:rFonts w:hAnsi="宋体"/>
                <w:color w:val="000000"/>
              </w:rPr>
              <w:t>9787308164474</w:t>
            </w:r>
          </w:p>
        </w:tc>
      </w:tr>
      <w:tr>
        <w:tblPrEx>
          <w:tblCellMar>
            <w:top w:w="0" w:type="dxa"/>
            <w:left w:w="0" w:type="dxa"/>
            <w:bottom w:w="0" w:type="dxa"/>
            <w:right w:w="0" w:type="dxa"/>
          </w:tblCellMar>
        </w:tblPrEx>
        <w:trPr>
          <w:trHeight w:val="1286" w:hRule="exact"/>
          <w:jc w:val="center"/>
        </w:trPr>
        <w:tc>
          <w:tcPr>
            <w:tcW w:w="2697"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土木工程基础综合</w:t>
            </w:r>
          </w:p>
          <w:p>
            <w:pPr>
              <w:spacing w:line="400" w:lineRule="exact"/>
              <w:jc w:val="center"/>
              <w:rPr>
                <w:rFonts w:hAnsi="宋体"/>
                <w:color w:val="000000"/>
              </w:rPr>
            </w:pPr>
            <w:r>
              <w:rPr>
                <w:rFonts w:hAnsi="宋体"/>
                <w:color w:val="000000"/>
              </w:rPr>
              <w:t>(</w:t>
            </w:r>
            <w:r>
              <w:rPr>
                <w:rFonts w:hint="eastAsia" w:hAnsi="宋体" w:cs="宋体"/>
                <w:color w:val="000000"/>
              </w:rPr>
              <w:t>建筑材料、建筑施工技术</w:t>
            </w:r>
            <w:r>
              <w:rPr>
                <w:rFonts w:hAnsi="宋体"/>
                <w:color w:val="000000"/>
              </w:rPr>
              <w:t>)</w:t>
            </w:r>
          </w:p>
        </w:tc>
        <w:tc>
          <w:tcPr>
            <w:tcW w:w="6520"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ind w:left="210" w:hanging="210" w:hangingChars="100"/>
              <w:jc w:val="left"/>
              <w:rPr>
                <w:rFonts w:hAnsi="宋体"/>
                <w:color w:val="000000"/>
              </w:rPr>
            </w:pPr>
            <w:r>
              <w:rPr>
                <w:rFonts w:hint="eastAsia" w:hAnsi="宋体"/>
                <w:color w:val="000000"/>
              </w:rPr>
              <w:t>《土木工程材料》</w:t>
            </w:r>
            <w:r>
              <w:rPr>
                <w:rFonts w:hAnsi="宋体"/>
                <w:color w:val="000000"/>
              </w:rPr>
              <w:t>2016</w:t>
            </w:r>
            <w:r>
              <w:rPr>
                <w:rFonts w:hint="eastAsia" w:hAnsi="宋体"/>
                <w:color w:val="000000"/>
              </w:rPr>
              <w:t>年第一版，刘志勇主编，西南交通大学出版社，</w:t>
            </w:r>
            <w:r>
              <w:rPr>
                <w:rFonts w:hAnsi="宋体"/>
                <w:color w:val="000000"/>
              </w:rPr>
              <w:t xml:space="preserve">  </w:t>
            </w:r>
          </w:p>
          <w:p>
            <w:pPr>
              <w:snapToGrid w:val="0"/>
              <w:spacing w:line="240" w:lineRule="atLeast"/>
              <w:ind w:left="210" w:hanging="210" w:hangingChars="100"/>
              <w:jc w:val="left"/>
              <w:rPr>
                <w:rFonts w:hAnsi="宋体"/>
                <w:color w:val="000000"/>
              </w:rPr>
            </w:pPr>
            <w:r>
              <w:rPr>
                <w:rFonts w:hAnsi="宋体"/>
                <w:color w:val="000000"/>
              </w:rPr>
              <w:t>ISBN</w:t>
            </w:r>
            <w:r>
              <w:rPr>
                <w:rFonts w:hint="eastAsia" w:hAnsi="宋体"/>
                <w:color w:val="000000"/>
              </w:rPr>
              <w:t>：</w:t>
            </w:r>
            <w:r>
              <w:rPr>
                <w:rFonts w:hAnsi="宋体"/>
                <w:color w:val="000000"/>
              </w:rPr>
              <w:t>9787564328320</w:t>
            </w:r>
          </w:p>
          <w:p>
            <w:pPr>
              <w:snapToGrid w:val="0"/>
              <w:spacing w:line="240" w:lineRule="atLeast"/>
              <w:jc w:val="left"/>
              <w:rPr>
                <w:rFonts w:hAnsi="宋体"/>
                <w:color w:val="000000"/>
              </w:rPr>
            </w:pPr>
            <w:r>
              <w:rPr>
                <w:rFonts w:ascii="宋体" w:hAnsi="宋体"/>
                <w:color w:val="000000"/>
              </w:rPr>
              <w:t>《土木工程施工技术》2017年</w:t>
            </w:r>
            <w:r>
              <w:rPr>
                <w:rFonts w:hint="eastAsia" w:ascii="宋体" w:hAnsi="宋体"/>
                <w:color w:val="000000"/>
              </w:rPr>
              <w:t>7月</w:t>
            </w:r>
            <w:r>
              <w:rPr>
                <w:rFonts w:ascii="宋体" w:hAnsi="宋体"/>
                <w:color w:val="000000"/>
              </w:rPr>
              <w:t>第二版</w:t>
            </w:r>
            <w:r>
              <w:rPr>
                <w:rFonts w:hint="eastAsia" w:ascii="宋体" w:hAnsi="宋体"/>
                <w:color w:val="000000"/>
              </w:rPr>
              <w:t>，</w:t>
            </w:r>
            <w:r>
              <w:rPr>
                <w:rFonts w:ascii="宋体" w:hAnsi="宋体"/>
                <w:color w:val="000000"/>
              </w:rPr>
              <w:t>韩俊强、袁自峰</w:t>
            </w:r>
            <w:r>
              <w:rPr>
                <w:rFonts w:hint="eastAsia" w:ascii="宋体" w:hAnsi="宋体"/>
                <w:color w:val="000000"/>
              </w:rPr>
              <w:t>主</w:t>
            </w:r>
            <w:r>
              <w:rPr>
                <w:rFonts w:ascii="宋体" w:hAnsi="宋体"/>
                <w:color w:val="000000"/>
              </w:rPr>
              <w:t>编</w:t>
            </w:r>
            <w:r>
              <w:rPr>
                <w:rFonts w:hint="eastAsia" w:ascii="宋体" w:hAnsi="宋体"/>
                <w:color w:val="000000"/>
              </w:rPr>
              <w:t>，</w:t>
            </w:r>
            <w:r>
              <w:rPr>
                <w:rFonts w:ascii="宋体" w:hAnsi="宋体"/>
                <w:color w:val="000000"/>
              </w:rPr>
              <w:t>武汉大学出版社</w:t>
            </w:r>
            <w:r>
              <w:rPr>
                <w:rFonts w:hint="eastAsia" w:ascii="宋体" w:hAnsi="宋体"/>
                <w:color w:val="000000"/>
              </w:rPr>
              <w:t>，</w:t>
            </w:r>
            <w:r>
              <w:rPr>
                <w:rFonts w:ascii="宋体" w:hAnsi="宋体"/>
                <w:color w:val="000000"/>
              </w:rPr>
              <w:t>ISBN</w:t>
            </w:r>
            <w:r>
              <w:rPr>
                <w:rFonts w:hint="eastAsia" w:ascii="宋体" w:hAnsi="宋体"/>
                <w:color w:val="000000"/>
              </w:rPr>
              <w:t>：</w:t>
            </w:r>
            <w:r>
              <w:rPr>
                <w:rFonts w:ascii="宋体" w:hAnsi="宋体"/>
                <w:color w:val="000000"/>
              </w:rPr>
              <w:t>9787307194298</w:t>
            </w:r>
          </w:p>
        </w:tc>
      </w:tr>
      <w:tr>
        <w:tblPrEx>
          <w:tblCellMar>
            <w:top w:w="0" w:type="dxa"/>
            <w:left w:w="0" w:type="dxa"/>
            <w:bottom w:w="0" w:type="dxa"/>
            <w:right w:w="0" w:type="dxa"/>
          </w:tblCellMar>
        </w:tblPrEx>
        <w:trPr>
          <w:trHeight w:val="1286" w:hRule="exact"/>
          <w:jc w:val="center"/>
        </w:trPr>
        <w:tc>
          <w:tcPr>
            <w:tcW w:w="269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工程造价基础综合</w:t>
            </w:r>
          </w:p>
          <w:p>
            <w:pPr>
              <w:spacing w:line="400" w:lineRule="exact"/>
              <w:jc w:val="center"/>
              <w:rPr>
                <w:rFonts w:hAnsi="宋体"/>
                <w:color w:val="000000"/>
              </w:rPr>
            </w:pPr>
            <w:r>
              <w:rPr>
                <w:rFonts w:hAnsi="宋体"/>
                <w:color w:val="000000"/>
              </w:rPr>
              <w:t>(</w:t>
            </w:r>
            <w:r>
              <w:rPr>
                <w:rFonts w:hint="eastAsia" w:hAnsi="宋体" w:cs="宋体"/>
                <w:color w:val="000000"/>
              </w:rPr>
              <w:t>房屋构造、建筑制图</w:t>
            </w:r>
            <w:r>
              <w:rPr>
                <w:rFonts w:hAnsi="宋体"/>
                <w:color w:val="000000"/>
              </w:rPr>
              <w:t>)</w:t>
            </w:r>
          </w:p>
        </w:tc>
        <w:tc>
          <w:tcPr>
            <w:tcW w:w="65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《房屋构造与识图》</w:t>
            </w:r>
            <w:r>
              <w:rPr>
                <w:rFonts w:hAnsi="宋体"/>
                <w:color w:val="000000"/>
              </w:rPr>
              <w:t>2018</w:t>
            </w:r>
            <w:r>
              <w:rPr>
                <w:rFonts w:hint="eastAsia" w:hAnsi="宋体" w:cs="宋体"/>
                <w:color w:val="000000"/>
              </w:rPr>
              <w:t>年</w:t>
            </w:r>
            <w:r>
              <w:rPr>
                <w:rFonts w:hAnsi="宋体"/>
                <w:color w:val="000000"/>
              </w:rPr>
              <w:t>1</w:t>
            </w:r>
            <w:r>
              <w:rPr>
                <w:rFonts w:hint="eastAsia" w:hAnsi="宋体" w:cs="宋体"/>
                <w:color w:val="000000"/>
              </w:rPr>
              <w:t>月第一版，毛小敏主编，哈尔滨工程大学出版社，</w:t>
            </w:r>
            <w:r>
              <w:rPr>
                <w:rFonts w:hAnsi="宋体"/>
                <w:color w:val="000000"/>
              </w:rPr>
              <w:t>ISBN</w:t>
            </w:r>
            <w:r>
              <w:rPr>
                <w:rFonts w:hint="eastAsia" w:hAnsi="宋体" w:cs="宋体"/>
                <w:color w:val="000000"/>
              </w:rPr>
              <w:t>：</w:t>
            </w:r>
            <w:r>
              <w:rPr>
                <w:rFonts w:hAnsi="宋体"/>
                <w:color w:val="000000"/>
              </w:rPr>
              <w:t>9787566199087</w:t>
            </w:r>
          </w:p>
          <w:p>
            <w:pPr>
              <w:snapToGrid w:val="0"/>
              <w:spacing w:line="240" w:lineRule="atLeast"/>
              <w:ind w:left="210" w:hanging="210"/>
              <w:jc w:val="left"/>
              <w:rPr>
                <w:rFonts w:hAnsi="宋体"/>
                <w:color w:val="000000"/>
              </w:rPr>
            </w:pPr>
            <w:r>
              <w:rPr>
                <w:rFonts w:hint="eastAsia" w:hAnsi="宋体" w:cs="宋体"/>
                <w:color w:val="000000"/>
              </w:rPr>
              <w:t>《建筑工程制图与识图》</w:t>
            </w:r>
            <w:r>
              <w:rPr>
                <w:rFonts w:hAnsi="宋体"/>
                <w:color w:val="000000"/>
              </w:rPr>
              <w:t>2015</w:t>
            </w:r>
            <w:r>
              <w:rPr>
                <w:rFonts w:hint="eastAsia" w:hAnsi="宋体" w:cs="宋体"/>
                <w:color w:val="000000"/>
              </w:rPr>
              <w:t>年</w:t>
            </w:r>
            <w:r>
              <w:rPr>
                <w:rFonts w:hAnsi="宋体"/>
                <w:color w:val="000000"/>
              </w:rPr>
              <w:t>8</w:t>
            </w:r>
            <w:r>
              <w:rPr>
                <w:rFonts w:hint="eastAsia" w:hAnsi="宋体" w:cs="宋体"/>
                <w:color w:val="000000"/>
              </w:rPr>
              <w:t>月第</w:t>
            </w:r>
            <w:r>
              <w:rPr>
                <w:rFonts w:hAnsi="宋体"/>
                <w:color w:val="000000"/>
              </w:rPr>
              <w:t>1</w:t>
            </w:r>
            <w:r>
              <w:rPr>
                <w:rFonts w:hint="eastAsia" w:hAnsi="宋体" w:cs="宋体"/>
                <w:color w:val="000000"/>
              </w:rPr>
              <w:t>版，闫小春、朱晓丽主编，武汉大学出版社，</w:t>
            </w:r>
            <w:r>
              <w:rPr>
                <w:rFonts w:hAnsi="宋体"/>
                <w:color w:val="000000"/>
              </w:rPr>
              <w:t>ISBN</w:t>
            </w:r>
            <w:r>
              <w:rPr>
                <w:rFonts w:hint="eastAsia" w:hAnsi="宋体" w:cs="宋体"/>
                <w:color w:val="000000"/>
              </w:rPr>
              <w:t>：</w:t>
            </w:r>
            <w:r>
              <w:rPr>
                <w:rFonts w:hAnsi="宋体"/>
                <w:color w:val="000000"/>
              </w:rPr>
              <w:t>9787307161184</w:t>
            </w:r>
          </w:p>
        </w:tc>
      </w:tr>
      <w:tr>
        <w:tblPrEx>
          <w:tblCellMar>
            <w:top w:w="0" w:type="dxa"/>
            <w:left w:w="0" w:type="dxa"/>
            <w:bottom w:w="0" w:type="dxa"/>
            <w:right w:w="0" w:type="dxa"/>
          </w:tblCellMar>
        </w:tblPrEx>
        <w:trPr>
          <w:trHeight w:val="1286"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宋体"/>
                <w:color w:val="000000"/>
              </w:rPr>
            </w:pPr>
            <w:r>
              <w:rPr>
                <w:rFonts w:hint="eastAsia" w:hAnsi="宋体" w:cs="宋体"/>
                <w:color w:val="000000"/>
              </w:rPr>
              <w:t>食品科学与工程础综合</w:t>
            </w:r>
          </w:p>
          <w:p>
            <w:pPr>
              <w:spacing w:line="400" w:lineRule="exact"/>
              <w:jc w:val="center"/>
              <w:rPr>
                <w:rFonts w:hAnsi="宋体"/>
                <w:color w:val="000000"/>
              </w:rPr>
            </w:pPr>
            <w:r>
              <w:rPr>
                <w:rFonts w:hint="eastAsia" w:hAnsi="宋体" w:cs="宋体"/>
                <w:color w:val="000000"/>
              </w:rPr>
              <w:t>（食品化学、食品分析）</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s="宋体"/>
                <w:color w:val="000000"/>
              </w:rPr>
            </w:pPr>
            <w:r>
              <w:rPr>
                <w:rFonts w:hint="eastAsia" w:hAnsi="宋体" w:cs="宋体"/>
                <w:color w:val="000000"/>
              </w:rPr>
              <w:t>《食品化学（第二版）》陈福玉，叶永铭、王桂桢主编，2017年5月，中国质检出版社，ISBN：9787502644017</w:t>
            </w:r>
          </w:p>
          <w:p>
            <w:pPr>
              <w:snapToGrid w:val="0"/>
              <w:spacing w:line="240" w:lineRule="atLeast"/>
              <w:jc w:val="left"/>
              <w:rPr>
                <w:rFonts w:hAnsi="宋体" w:cs="宋体"/>
                <w:color w:val="000000"/>
              </w:rPr>
            </w:pPr>
            <w:r>
              <w:rPr>
                <w:rFonts w:hint="eastAsia" w:hAnsi="宋体" w:cs="宋体"/>
                <w:color w:val="000000"/>
              </w:rPr>
              <w:t>《食品分析》 李和生主编，2014年1月第一版，科学出版社，</w:t>
            </w:r>
          </w:p>
          <w:p>
            <w:pPr>
              <w:snapToGrid w:val="0"/>
              <w:spacing w:line="240" w:lineRule="atLeast"/>
              <w:jc w:val="left"/>
              <w:rPr>
                <w:rFonts w:hAnsi="宋体"/>
                <w:color w:val="000000"/>
              </w:rPr>
            </w:pPr>
            <w:r>
              <w:rPr>
                <w:rFonts w:hint="eastAsia" w:hAnsi="宋体" w:cs="宋体"/>
                <w:color w:val="000000"/>
              </w:rPr>
              <w:t>ISBN：9787030390486</w:t>
            </w:r>
          </w:p>
        </w:tc>
      </w:tr>
      <w:tr>
        <w:tblPrEx>
          <w:tblCellMar>
            <w:top w:w="0" w:type="dxa"/>
            <w:left w:w="0" w:type="dxa"/>
            <w:bottom w:w="0" w:type="dxa"/>
            <w:right w:w="0" w:type="dxa"/>
          </w:tblCellMar>
        </w:tblPrEx>
        <w:trPr>
          <w:trHeight w:val="1136"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园林基础综合</w:t>
            </w:r>
          </w:p>
          <w:p>
            <w:pPr>
              <w:spacing w:line="400" w:lineRule="exact"/>
              <w:jc w:val="center"/>
              <w:rPr>
                <w:rFonts w:hAnsi="宋体"/>
                <w:color w:val="000000"/>
              </w:rPr>
            </w:pPr>
            <w:r>
              <w:rPr>
                <w:rFonts w:hint="eastAsia" w:hAnsi="宋体" w:cs="宋体"/>
                <w:color w:val="000000"/>
              </w:rPr>
              <w:t>（园林树木学、园林设计）</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rPr>
                <w:rFonts w:hAnsi="宋体"/>
                <w:color w:val="000000"/>
              </w:rPr>
            </w:pPr>
            <w:r>
              <w:rPr>
                <w:rFonts w:hint="eastAsia" w:hAnsi="宋体"/>
                <w:color w:val="000000"/>
              </w:rPr>
              <w:t>《观赏树木》，潘文明主编，中国农业出版社，</w:t>
            </w:r>
            <w:r>
              <w:rPr>
                <w:rFonts w:hAnsi="宋体"/>
                <w:color w:val="000000"/>
              </w:rPr>
              <w:t>2014</w:t>
            </w:r>
            <w:r>
              <w:rPr>
                <w:rFonts w:hint="eastAsia" w:hAnsi="宋体"/>
                <w:color w:val="000000"/>
              </w:rPr>
              <w:t>年，</w:t>
            </w:r>
          </w:p>
          <w:p>
            <w:pPr>
              <w:snapToGrid w:val="0"/>
              <w:spacing w:line="240" w:lineRule="atLeast"/>
              <w:rPr>
                <w:rFonts w:hAnsi="宋体"/>
                <w:color w:val="000000"/>
              </w:rPr>
            </w:pPr>
            <w:r>
              <w:rPr>
                <w:rFonts w:hAnsi="宋体"/>
                <w:color w:val="000000"/>
              </w:rPr>
              <w:t>ISBN</w:t>
            </w:r>
            <w:r>
              <w:rPr>
                <w:rFonts w:hint="eastAsia" w:hAnsi="宋体"/>
                <w:color w:val="000000"/>
              </w:rPr>
              <w:t>：</w:t>
            </w:r>
            <w:r>
              <w:rPr>
                <w:rFonts w:hAnsi="宋体"/>
                <w:color w:val="000000"/>
              </w:rPr>
              <w:t>9787109196285</w:t>
            </w:r>
          </w:p>
          <w:p>
            <w:pPr>
              <w:snapToGrid w:val="0"/>
              <w:spacing w:line="240" w:lineRule="atLeast"/>
              <w:jc w:val="left"/>
              <w:rPr>
                <w:rFonts w:hAnsi="宋体"/>
                <w:color w:val="000000"/>
              </w:rPr>
            </w:pPr>
            <w:r>
              <w:rPr>
                <w:rFonts w:hint="eastAsia" w:hAnsi="宋体"/>
                <w:color w:val="000000"/>
              </w:rPr>
              <w:t>《风景</w:t>
            </w:r>
            <w:r>
              <w:rPr>
                <w:rFonts w:hAnsi="宋体"/>
                <w:color w:val="000000"/>
              </w:rPr>
              <w:t>园林概论</w:t>
            </w:r>
            <w:r>
              <w:rPr>
                <w:rFonts w:hint="eastAsia" w:hAnsi="宋体"/>
                <w:color w:val="000000"/>
              </w:rPr>
              <w:t>》，顾韩主编，化学</w:t>
            </w:r>
            <w:r>
              <w:rPr>
                <w:rFonts w:hAnsi="宋体"/>
                <w:color w:val="000000"/>
              </w:rPr>
              <w:t>工业出版社</w:t>
            </w:r>
            <w:r>
              <w:rPr>
                <w:rFonts w:hint="eastAsia" w:hAnsi="宋体"/>
                <w:color w:val="000000"/>
              </w:rPr>
              <w:t>，</w:t>
            </w:r>
            <w:r>
              <w:rPr>
                <w:rFonts w:hAnsi="宋体"/>
                <w:color w:val="000000"/>
              </w:rPr>
              <w:t>2014</w:t>
            </w:r>
            <w:r>
              <w:rPr>
                <w:rFonts w:hint="eastAsia" w:hAnsi="宋体"/>
                <w:color w:val="000000"/>
              </w:rPr>
              <w:t>年，</w:t>
            </w:r>
          </w:p>
          <w:p>
            <w:pPr>
              <w:snapToGrid w:val="0"/>
              <w:spacing w:line="240" w:lineRule="atLeast"/>
              <w:jc w:val="left"/>
              <w:rPr>
                <w:rFonts w:hAnsi="宋体"/>
                <w:color w:val="000000"/>
              </w:rPr>
            </w:pPr>
            <w:r>
              <w:rPr>
                <w:color w:val="000000"/>
              </w:rPr>
              <w:t>ISBN：9787122200617</w:t>
            </w:r>
          </w:p>
        </w:tc>
      </w:tr>
      <w:tr>
        <w:tblPrEx>
          <w:tblCellMar>
            <w:top w:w="0" w:type="dxa"/>
            <w:left w:w="0" w:type="dxa"/>
            <w:bottom w:w="0" w:type="dxa"/>
            <w:right w:w="0" w:type="dxa"/>
          </w:tblCellMar>
        </w:tblPrEx>
        <w:trPr>
          <w:trHeight w:val="1258"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环境工程基础综合</w:t>
            </w:r>
          </w:p>
          <w:p>
            <w:pPr>
              <w:spacing w:line="400" w:lineRule="exact"/>
              <w:jc w:val="center"/>
              <w:rPr>
                <w:rFonts w:hAnsi="宋体"/>
                <w:color w:val="000000"/>
              </w:rPr>
            </w:pPr>
            <w:r>
              <w:rPr>
                <w:rFonts w:hAnsi="宋体"/>
                <w:color w:val="000000"/>
              </w:rPr>
              <w:t>(</w:t>
            </w:r>
            <w:r>
              <w:rPr>
                <w:rFonts w:hint="eastAsia" w:hAnsi="宋体" w:cs="宋体"/>
                <w:color w:val="000000"/>
              </w:rPr>
              <w:t>水污染控制工程、环境监测</w:t>
            </w:r>
            <w:r>
              <w:rPr>
                <w:rFonts w:hAnsi="宋体"/>
                <w:color w:val="000000"/>
              </w:rPr>
              <w:t>)</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olor w:val="000000"/>
              </w:rPr>
              <w:t>《环境监测》（第三版）</w:t>
            </w:r>
            <w:r>
              <w:fldChar w:fldCharType="begin"/>
            </w:r>
            <w:r>
              <w:instrText xml:space="preserve"> HYPERLINK "http://search.dangdang.com/?key2=%CD%F5%D3%A2%BD%A1&amp;medium=01&amp;category_path=01.00.00.00.00.00" \t "http://product.dangdang.com/_blank" </w:instrText>
            </w:r>
            <w:r>
              <w:fldChar w:fldCharType="separate"/>
            </w:r>
            <w:r>
              <w:rPr>
                <w:rFonts w:hint="eastAsia"/>
                <w:color w:val="000000"/>
              </w:rPr>
              <w:t>王英健</w:t>
            </w:r>
            <w:r>
              <w:rPr>
                <w:rFonts w:hint="eastAsia"/>
                <w:color w:val="000000"/>
              </w:rPr>
              <w:fldChar w:fldCharType="end"/>
            </w:r>
            <w:r>
              <w:rPr>
                <w:rFonts w:hint="eastAsia" w:hAnsi="宋体"/>
                <w:color w:val="000000"/>
              </w:rPr>
              <w:t>，</w:t>
            </w:r>
            <w:r>
              <w:fldChar w:fldCharType="begin"/>
            </w:r>
            <w:r>
              <w:instrText xml:space="preserve"> HYPERLINK "http://search.dangdang.com/?key2=%D1%EE%D3%C0%BA%EC&amp;medium=01&amp;category_path=01.00.00.00.00.00" \t "http://product.dangdang.com/_blank" </w:instrText>
            </w:r>
            <w:r>
              <w:fldChar w:fldCharType="separate"/>
            </w:r>
            <w:r>
              <w:rPr>
                <w:rFonts w:hint="eastAsia"/>
                <w:color w:val="000000"/>
              </w:rPr>
              <w:t>杨永红</w:t>
            </w:r>
            <w:r>
              <w:rPr>
                <w:rFonts w:hint="eastAsia"/>
                <w:color w:val="000000"/>
              </w:rPr>
              <w:fldChar w:fldCharType="end"/>
            </w:r>
            <w:r>
              <w:rPr>
                <w:rFonts w:hint="eastAsia" w:hAnsi="宋体"/>
                <w:color w:val="000000"/>
              </w:rPr>
              <w:t>．化学工业出版社，</w:t>
            </w:r>
            <w:r>
              <w:rPr>
                <w:rFonts w:hAnsi="宋体"/>
                <w:color w:val="000000"/>
              </w:rPr>
              <w:t>2015</w:t>
            </w:r>
            <w:r>
              <w:rPr>
                <w:rFonts w:hint="eastAsia" w:hAnsi="宋体"/>
                <w:color w:val="000000"/>
              </w:rPr>
              <w:t>年，</w:t>
            </w:r>
          </w:p>
          <w:p>
            <w:pPr>
              <w:snapToGrid w:val="0"/>
              <w:spacing w:line="240" w:lineRule="atLeast"/>
              <w:jc w:val="left"/>
              <w:rPr>
                <w:rFonts w:hAnsi="宋体"/>
                <w:color w:val="000000"/>
              </w:rPr>
            </w:pPr>
            <w:r>
              <w:rPr>
                <w:rFonts w:hAnsi="宋体"/>
                <w:color w:val="000000"/>
              </w:rPr>
              <w:t xml:space="preserve"> ISBN</w:t>
            </w:r>
            <w:r>
              <w:rPr>
                <w:rFonts w:hint="eastAsia" w:hAnsi="宋体"/>
                <w:color w:val="000000"/>
              </w:rPr>
              <w:t>：</w:t>
            </w:r>
            <w:r>
              <w:rPr>
                <w:rFonts w:hAnsi="宋体"/>
                <w:color w:val="000000"/>
              </w:rPr>
              <w:t>9787122228741</w:t>
            </w:r>
          </w:p>
          <w:p>
            <w:pPr>
              <w:snapToGrid w:val="0"/>
              <w:spacing w:line="240" w:lineRule="atLeast"/>
              <w:jc w:val="left"/>
              <w:rPr>
                <w:rFonts w:hAnsi="宋体"/>
                <w:color w:val="000000"/>
              </w:rPr>
            </w:pPr>
            <w:r>
              <w:rPr>
                <w:rFonts w:hint="eastAsia" w:hAnsi="宋体"/>
                <w:color w:val="000000"/>
              </w:rPr>
              <w:t>《水污染控制工程》高廷耀，顾国维，周琪主编，高等教育出版社，</w:t>
            </w:r>
            <w:r>
              <w:rPr>
                <w:rFonts w:hAnsi="宋体"/>
                <w:color w:val="000000"/>
              </w:rPr>
              <w:t>201</w:t>
            </w:r>
            <w:r>
              <w:rPr>
                <w:rFonts w:hint="eastAsia" w:hAnsi="宋体"/>
                <w:color w:val="000000"/>
              </w:rPr>
              <w:t>5年4月第四版，</w:t>
            </w:r>
            <w:r>
              <w:rPr>
                <w:rFonts w:hAnsi="宋体"/>
                <w:color w:val="000000"/>
              </w:rPr>
              <w:t>ISBN</w:t>
            </w:r>
            <w:r>
              <w:rPr>
                <w:rFonts w:hint="eastAsia" w:hAnsi="宋体"/>
                <w:color w:val="000000"/>
              </w:rPr>
              <w:t>：</w:t>
            </w:r>
            <w:r>
              <w:rPr>
                <w:rFonts w:hAnsi="宋体"/>
                <w:color w:val="000000"/>
              </w:rPr>
              <w:t>9787</w:t>
            </w:r>
            <w:r>
              <w:rPr>
                <w:rFonts w:hint="eastAsia" w:hAnsi="宋体"/>
                <w:color w:val="000000"/>
              </w:rPr>
              <w:t>040421262</w:t>
            </w:r>
          </w:p>
        </w:tc>
      </w:tr>
      <w:tr>
        <w:tblPrEx>
          <w:tblCellMar>
            <w:top w:w="0" w:type="dxa"/>
            <w:left w:w="0" w:type="dxa"/>
            <w:bottom w:w="0" w:type="dxa"/>
            <w:right w:w="0" w:type="dxa"/>
          </w:tblCellMar>
        </w:tblPrEx>
        <w:trPr>
          <w:trHeight w:val="1403"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s="宋体"/>
                <w:color w:val="000000"/>
              </w:rPr>
            </w:pPr>
            <w:r>
              <w:rPr>
                <w:rFonts w:hint="eastAsia" w:hAnsi="宋体" w:cs="宋体"/>
                <w:color w:val="000000"/>
              </w:rPr>
              <w:t>程序设计基础综合</w:t>
            </w:r>
          </w:p>
          <w:p>
            <w:pPr>
              <w:spacing w:line="400" w:lineRule="exact"/>
              <w:jc w:val="center"/>
              <w:rPr>
                <w:rFonts w:hAnsi="宋体"/>
                <w:color w:val="000000"/>
              </w:rPr>
            </w:pPr>
            <w:r>
              <w:rPr>
                <w:rFonts w:hint="eastAsia" w:hAnsi="宋体" w:cs="宋体"/>
                <w:color w:val="000000"/>
              </w:rPr>
              <w:t>（</w:t>
            </w:r>
            <w:r>
              <w:rPr>
                <w:rFonts w:hAnsi="宋体"/>
                <w:color w:val="000000"/>
              </w:rPr>
              <w:t>MySQL</w:t>
            </w:r>
            <w:r>
              <w:rPr>
                <w:rFonts w:hint="eastAsia" w:hAnsi="宋体" w:cs="宋体"/>
                <w:color w:val="000000"/>
              </w:rPr>
              <w:t>数据库、</w:t>
            </w:r>
            <w:r>
              <w:rPr>
                <w:rFonts w:hAnsi="宋体"/>
                <w:color w:val="000000"/>
              </w:rPr>
              <w:t>JAVA</w:t>
            </w:r>
            <w:r>
              <w:rPr>
                <w:rFonts w:hint="eastAsia" w:hAnsi="宋体" w:cs="宋体"/>
                <w:color w:val="000000"/>
              </w:rPr>
              <w:t>语言程序设计）</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w:t>
            </w:r>
            <w:r>
              <w:rPr>
                <w:rFonts w:hAnsi="宋体"/>
                <w:color w:val="000000"/>
              </w:rPr>
              <w:t>MySQL</w:t>
            </w:r>
            <w:r>
              <w:rPr>
                <w:rFonts w:hint="eastAsia" w:hAnsi="宋体" w:cs="宋体"/>
                <w:color w:val="000000"/>
              </w:rPr>
              <w:t>数据库应用教程》董国钢</w:t>
            </w:r>
            <w:r>
              <w:rPr>
                <w:rFonts w:hAnsi="宋体"/>
                <w:color w:val="000000"/>
              </w:rPr>
              <w:t>,</w:t>
            </w:r>
            <w:r>
              <w:rPr>
                <w:rFonts w:hint="eastAsia" w:hAnsi="宋体" w:cs="宋体"/>
                <w:color w:val="000000"/>
              </w:rPr>
              <w:t>徐彩云</w:t>
            </w:r>
            <w:r>
              <w:rPr>
                <w:rFonts w:hint="eastAsia" w:hAnsi="宋体"/>
                <w:color w:val="000000"/>
              </w:rPr>
              <w:t xml:space="preserve"> </w:t>
            </w:r>
            <w:r>
              <w:rPr>
                <w:rFonts w:hint="eastAsia" w:hAnsi="宋体" w:cs="宋体"/>
                <w:color w:val="000000"/>
              </w:rPr>
              <w:t>合肥工业大学出版社</w:t>
            </w:r>
          </w:p>
          <w:p>
            <w:pPr>
              <w:snapToGrid w:val="0"/>
              <w:spacing w:line="240" w:lineRule="atLeast"/>
              <w:jc w:val="left"/>
              <w:rPr>
                <w:rFonts w:hAnsi="宋体"/>
                <w:color w:val="000000"/>
              </w:rPr>
            </w:pPr>
            <w:r>
              <w:rPr>
                <w:rFonts w:hAnsi="宋体"/>
                <w:color w:val="000000"/>
              </w:rPr>
              <w:t>ISBN</w:t>
            </w:r>
            <w:r>
              <w:rPr>
                <w:rFonts w:hint="eastAsia" w:hAnsi="宋体" w:cs="宋体"/>
                <w:color w:val="000000"/>
              </w:rPr>
              <w:t>：</w:t>
            </w:r>
            <w:r>
              <w:rPr>
                <w:rFonts w:hAnsi="宋体"/>
                <w:color w:val="000000"/>
              </w:rPr>
              <w:t>9787565043321</w:t>
            </w:r>
          </w:p>
          <w:p>
            <w:pPr>
              <w:snapToGrid w:val="0"/>
              <w:spacing w:line="240" w:lineRule="atLeast"/>
              <w:jc w:val="left"/>
              <w:rPr>
                <w:rFonts w:hAnsi="宋体"/>
                <w:color w:val="000000"/>
              </w:rPr>
            </w:pPr>
            <w:r>
              <w:rPr>
                <w:rFonts w:hint="eastAsia" w:hAnsi="宋体" w:cs="宋体"/>
                <w:color w:val="000000"/>
              </w:rPr>
              <w:t>《</w:t>
            </w:r>
            <w:r>
              <w:rPr>
                <w:rFonts w:hAnsi="宋体"/>
                <w:color w:val="000000"/>
              </w:rPr>
              <w:t>Java</w:t>
            </w:r>
            <w:r>
              <w:rPr>
                <w:rFonts w:hint="eastAsia" w:hAnsi="宋体" w:cs="宋体"/>
                <w:color w:val="000000"/>
              </w:rPr>
              <w:t>基础入门》传智播客高教产品研发部</w:t>
            </w:r>
            <w:r>
              <w:rPr>
                <w:rFonts w:hint="eastAsia" w:hAnsi="宋体"/>
                <w:color w:val="000000"/>
              </w:rPr>
              <w:t xml:space="preserve"> </w:t>
            </w:r>
            <w:r>
              <w:rPr>
                <w:rFonts w:hint="eastAsia" w:hAnsi="宋体" w:cs="宋体"/>
                <w:color w:val="000000"/>
              </w:rPr>
              <w:t>清华大学出版社</w:t>
            </w:r>
          </w:p>
          <w:p>
            <w:pPr>
              <w:snapToGrid w:val="0"/>
              <w:spacing w:line="240" w:lineRule="atLeast"/>
              <w:jc w:val="left"/>
              <w:rPr>
                <w:rFonts w:hAnsi="宋体"/>
                <w:color w:val="000000"/>
              </w:rPr>
            </w:pPr>
            <w:r>
              <w:rPr>
                <w:rFonts w:hAnsi="宋体"/>
                <w:color w:val="000000"/>
              </w:rPr>
              <w:t>ISBN</w:t>
            </w:r>
            <w:r>
              <w:rPr>
                <w:rFonts w:hint="eastAsia" w:hAnsi="宋体" w:cs="宋体"/>
                <w:color w:val="000000"/>
              </w:rPr>
              <w:t>：</w:t>
            </w:r>
            <w:r>
              <w:rPr>
                <w:rFonts w:hAnsi="宋体"/>
                <w:color w:val="000000"/>
              </w:rPr>
              <w:t>9787302359388</w:t>
            </w:r>
          </w:p>
        </w:tc>
      </w:tr>
      <w:tr>
        <w:tblPrEx>
          <w:tblCellMar>
            <w:top w:w="0" w:type="dxa"/>
            <w:left w:w="0" w:type="dxa"/>
            <w:bottom w:w="0" w:type="dxa"/>
            <w:right w:w="0" w:type="dxa"/>
          </w:tblCellMar>
        </w:tblPrEx>
        <w:trPr>
          <w:trHeight w:val="1423"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数据库与网页制作基础综合（</w:t>
            </w:r>
            <w:r>
              <w:rPr>
                <w:rFonts w:hAnsi="宋体"/>
                <w:color w:val="000000"/>
              </w:rPr>
              <w:t>Access</w:t>
            </w:r>
            <w:r>
              <w:rPr>
                <w:rFonts w:hint="eastAsia" w:hAnsi="宋体" w:cs="宋体"/>
                <w:color w:val="000000"/>
              </w:rPr>
              <w:t>数据库、</w:t>
            </w:r>
            <w:r>
              <w:rPr>
                <w:rFonts w:hAnsi="宋体"/>
                <w:color w:val="000000"/>
              </w:rPr>
              <w:t>Dreamweaver CS6</w:t>
            </w:r>
            <w:r>
              <w:rPr>
                <w:rFonts w:hint="eastAsia" w:hAnsi="宋体" w:cs="宋体"/>
                <w:color w:val="000000"/>
              </w:rPr>
              <w:t>网页制作）</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s="宋体"/>
                <w:color w:val="000000"/>
              </w:rPr>
              <w:t>《</w:t>
            </w:r>
            <w:r>
              <w:rPr>
                <w:rFonts w:hAnsi="宋体"/>
                <w:color w:val="000000"/>
              </w:rPr>
              <w:t>Access</w:t>
            </w:r>
            <w:r>
              <w:rPr>
                <w:rFonts w:hint="eastAsia" w:hAnsi="宋体" w:cs="宋体"/>
                <w:color w:val="000000"/>
              </w:rPr>
              <w:t>数据库教程（</w:t>
            </w:r>
            <w:r>
              <w:rPr>
                <w:rFonts w:hAnsi="宋体"/>
                <w:color w:val="000000"/>
              </w:rPr>
              <w:t>2010</w:t>
            </w:r>
            <w:r>
              <w:rPr>
                <w:rFonts w:hint="eastAsia" w:hAnsi="宋体" w:cs="宋体"/>
                <w:color w:val="000000"/>
              </w:rPr>
              <w:t>版）》，苏林萍，人民邮电出版社</w:t>
            </w:r>
            <w:r>
              <w:rPr>
                <w:rFonts w:hAnsi="宋体"/>
                <w:color w:val="000000"/>
              </w:rPr>
              <w:t xml:space="preserve"> ISBN</w:t>
            </w:r>
            <w:r>
              <w:rPr>
                <w:rFonts w:hint="eastAsia" w:hAnsi="宋体" w:cs="宋体"/>
                <w:color w:val="000000"/>
              </w:rPr>
              <w:t>：</w:t>
            </w:r>
            <w:r>
              <w:rPr>
                <w:rFonts w:hAnsi="宋体"/>
                <w:color w:val="000000"/>
              </w:rPr>
              <w:t>9787115336323</w:t>
            </w:r>
          </w:p>
          <w:p>
            <w:pPr>
              <w:snapToGrid w:val="0"/>
              <w:spacing w:line="240" w:lineRule="atLeast"/>
              <w:jc w:val="left"/>
              <w:rPr>
                <w:rFonts w:hAnsi="宋体"/>
                <w:color w:val="000000"/>
              </w:rPr>
            </w:pPr>
            <w:r>
              <w:rPr>
                <w:rFonts w:hint="eastAsia" w:hAnsi="宋体" w:cs="宋体"/>
                <w:color w:val="000000"/>
              </w:rPr>
              <w:t>《</w:t>
            </w:r>
            <w:r>
              <w:rPr>
                <w:rFonts w:hAnsi="宋体"/>
                <w:color w:val="000000"/>
              </w:rPr>
              <w:t>Dreamweaver CS6</w:t>
            </w:r>
            <w:r>
              <w:rPr>
                <w:rFonts w:hint="eastAsia" w:hAnsi="宋体" w:cs="宋体"/>
                <w:color w:val="000000"/>
              </w:rPr>
              <w:t>中文版标准实例教程》，胡仁喜，机械工业出版社</w:t>
            </w:r>
            <w:r>
              <w:rPr>
                <w:rFonts w:hAnsi="宋体"/>
                <w:color w:val="000000"/>
              </w:rPr>
              <w:t xml:space="preserve">                                        </w:t>
            </w:r>
          </w:p>
          <w:p>
            <w:pPr>
              <w:snapToGrid w:val="0"/>
              <w:spacing w:line="240" w:lineRule="atLeast"/>
              <w:jc w:val="left"/>
              <w:rPr>
                <w:rFonts w:hAnsi="宋体"/>
                <w:color w:val="000000"/>
              </w:rPr>
            </w:pPr>
            <w:r>
              <w:rPr>
                <w:rFonts w:hAnsi="宋体"/>
                <w:color w:val="000000"/>
              </w:rPr>
              <w:t>ISBN</w:t>
            </w:r>
            <w:r>
              <w:rPr>
                <w:rFonts w:hint="eastAsia" w:hAnsi="宋体" w:cs="宋体"/>
                <w:color w:val="000000"/>
              </w:rPr>
              <w:t>：</w:t>
            </w:r>
            <w:r>
              <w:rPr>
                <w:rFonts w:hAnsi="宋体"/>
                <w:color w:val="000000"/>
              </w:rPr>
              <w:t>9787111409823</w:t>
            </w:r>
          </w:p>
        </w:tc>
      </w:tr>
      <w:tr>
        <w:tblPrEx>
          <w:tblCellMar>
            <w:top w:w="0" w:type="dxa"/>
            <w:left w:w="0" w:type="dxa"/>
            <w:bottom w:w="0" w:type="dxa"/>
            <w:right w:w="0" w:type="dxa"/>
          </w:tblCellMar>
        </w:tblPrEx>
        <w:trPr>
          <w:trHeight w:val="995" w:hRule="exact"/>
          <w:jc w:val="center"/>
        </w:trPr>
        <w:tc>
          <w:tcPr>
            <w:tcW w:w="2697"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室内手绘快题设计</w:t>
            </w:r>
          </w:p>
          <w:p>
            <w:pPr>
              <w:spacing w:line="400" w:lineRule="exact"/>
              <w:jc w:val="center"/>
              <w:rPr>
                <w:rFonts w:hAnsi="宋体"/>
                <w:color w:val="000000"/>
              </w:rPr>
            </w:pPr>
            <w:r>
              <w:rPr>
                <w:rFonts w:hint="eastAsia" w:hAnsi="宋体" w:cs="宋体"/>
                <w:color w:val="000000"/>
              </w:rPr>
              <w:t>（设计知识综合应用）</w:t>
            </w:r>
          </w:p>
        </w:tc>
        <w:tc>
          <w:tcPr>
            <w:tcW w:w="652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rPr>
                <w:rFonts w:hAnsi="宋体" w:cs="宋体"/>
                <w:color w:val="000000"/>
              </w:rPr>
            </w:pPr>
            <w:r>
              <w:rPr>
                <w:rFonts w:hint="eastAsia" w:hAnsi="宋体" w:cs="宋体"/>
                <w:color w:val="000000"/>
              </w:rPr>
              <w:t>《室内设计手绘技法与快题表现》，曾添主编，人民邮电出版社，</w:t>
            </w:r>
            <w:r>
              <w:rPr>
                <w:rFonts w:hAnsi="宋体"/>
                <w:color w:val="000000"/>
              </w:rPr>
              <w:t>2017</w:t>
            </w:r>
            <w:r>
              <w:rPr>
                <w:rFonts w:hint="eastAsia" w:hAnsi="宋体" w:cs="宋体"/>
                <w:color w:val="000000"/>
              </w:rPr>
              <w:t>年版，</w:t>
            </w:r>
            <w:r>
              <w:rPr>
                <w:rFonts w:hAnsi="宋体"/>
                <w:color w:val="000000"/>
              </w:rPr>
              <w:t>ISBN</w:t>
            </w:r>
            <w:r>
              <w:rPr>
                <w:rFonts w:hint="eastAsia" w:hAnsi="宋体" w:cs="宋体"/>
                <w:color w:val="000000"/>
              </w:rPr>
              <w:t>：</w:t>
            </w:r>
            <w:r>
              <w:rPr>
                <w:rFonts w:hAnsi="宋体"/>
                <w:color w:val="000000"/>
              </w:rPr>
              <w:t>9787115464873</w:t>
            </w:r>
          </w:p>
        </w:tc>
      </w:tr>
      <w:tr>
        <w:tblPrEx>
          <w:tblCellMar>
            <w:top w:w="0" w:type="dxa"/>
            <w:left w:w="0" w:type="dxa"/>
            <w:bottom w:w="0" w:type="dxa"/>
            <w:right w:w="0" w:type="dxa"/>
          </w:tblCellMar>
        </w:tblPrEx>
        <w:trPr>
          <w:trHeight w:val="1137" w:hRule="exact"/>
          <w:jc w:val="center"/>
        </w:trPr>
        <w:tc>
          <w:tcPr>
            <w:tcW w:w="2697"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widowControl/>
              <w:jc w:val="center"/>
              <w:rPr>
                <w:rFonts w:hAnsi="宋体"/>
                <w:bCs/>
                <w:color w:val="000000"/>
              </w:rPr>
            </w:pPr>
            <w:r>
              <w:rPr>
                <w:rFonts w:hint="eastAsia" w:hAnsi="宋体"/>
                <w:bCs/>
                <w:color w:val="000000"/>
              </w:rPr>
              <w:t>平面手绘快题设计</w:t>
            </w:r>
          </w:p>
          <w:p>
            <w:pPr>
              <w:spacing w:line="400" w:lineRule="exact"/>
              <w:jc w:val="center"/>
              <w:rPr>
                <w:rFonts w:hAnsi="宋体" w:cs="宋体"/>
                <w:color w:val="000000"/>
              </w:rPr>
            </w:pPr>
            <w:r>
              <w:rPr>
                <w:rFonts w:hint="eastAsia" w:hAnsi="宋体"/>
                <w:bCs/>
                <w:color w:val="000000"/>
              </w:rPr>
              <w:t>（设计知识综合应用）</w:t>
            </w:r>
          </w:p>
        </w:tc>
        <w:tc>
          <w:tcPr>
            <w:tcW w:w="652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rPr>
                <w:rFonts w:ascii="宋体" w:hAnsi="宋体" w:cs="宋体"/>
                <w:bCs/>
                <w:color w:val="000000"/>
              </w:rPr>
            </w:pPr>
            <w:r>
              <w:rPr>
                <w:rFonts w:hint="eastAsia" w:ascii="宋体" w:hAnsi="宋体" w:cs="宋体"/>
                <w:bCs/>
                <w:color w:val="000000"/>
              </w:rPr>
              <w:t>《100种创意搞定手绘POP》，简仁吉编绘，辽宁科学技术出版社，2019年2月，ISBN：</w:t>
            </w:r>
            <w:r>
              <w:rPr>
                <w:rFonts w:hint="eastAsia" w:ascii="宋体" w:hAnsi="宋体" w:cs="宋体"/>
                <w:bCs/>
                <w:color w:val="000000"/>
                <w:shd w:val="clear" w:color="auto" w:fill="FFFFFF"/>
              </w:rPr>
              <w:t>9787559110237</w:t>
            </w:r>
          </w:p>
          <w:p>
            <w:pPr>
              <w:snapToGrid w:val="0"/>
              <w:spacing w:line="240" w:lineRule="atLeast"/>
              <w:jc w:val="left"/>
              <w:rPr>
                <w:rFonts w:ascii="宋体" w:hAnsi="宋体" w:cs="宋体"/>
                <w:bCs/>
                <w:color w:val="000000"/>
                <w:shd w:val="clear" w:color="auto" w:fill="FFFFFF"/>
              </w:rPr>
            </w:pPr>
            <w:r>
              <w:rPr>
                <w:rFonts w:hint="eastAsia" w:ascii="宋体" w:hAnsi="宋体" w:cs="宋体"/>
                <w:bCs/>
                <w:color w:val="000000"/>
                <w:shd w:val="clear" w:color="auto" w:fill="FFFFFF"/>
              </w:rPr>
              <w:t>《黑白装饰画》，爱林博悦编著，人民邮电出版社，2019年5月，</w:t>
            </w:r>
          </w:p>
          <w:p>
            <w:pPr>
              <w:snapToGrid w:val="0"/>
              <w:spacing w:line="240" w:lineRule="atLeast"/>
              <w:jc w:val="left"/>
              <w:rPr>
                <w:rFonts w:ascii="宋体" w:hAnsi="宋体" w:cs="宋体"/>
                <w:bCs/>
                <w:color w:val="000000"/>
                <w:shd w:val="clear" w:color="auto" w:fill="FFFFFF"/>
              </w:rPr>
            </w:pPr>
            <w:r>
              <w:rPr>
                <w:rFonts w:hint="eastAsia" w:ascii="宋体" w:hAnsi="宋体" w:cs="宋体"/>
                <w:bCs/>
                <w:color w:val="000000"/>
                <w:shd w:val="clear" w:color="auto" w:fill="FFFFFF"/>
              </w:rPr>
              <w:t>ISBN：9787115498397</w:t>
            </w:r>
          </w:p>
        </w:tc>
      </w:tr>
      <w:tr>
        <w:tblPrEx>
          <w:tblCellMar>
            <w:top w:w="0" w:type="dxa"/>
            <w:left w:w="0" w:type="dxa"/>
            <w:bottom w:w="0" w:type="dxa"/>
            <w:right w:w="0" w:type="dxa"/>
          </w:tblCellMar>
        </w:tblPrEx>
        <w:trPr>
          <w:trHeight w:val="1258"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s="宋体"/>
                <w:color w:val="000000"/>
              </w:rPr>
              <w:t>体育基础综合</w:t>
            </w:r>
          </w:p>
          <w:p>
            <w:pPr>
              <w:widowControl/>
              <w:spacing w:line="400" w:lineRule="exact"/>
              <w:jc w:val="center"/>
              <w:rPr>
                <w:rFonts w:hAnsi="宋体"/>
                <w:color w:val="000000"/>
              </w:rPr>
            </w:pPr>
            <w:r>
              <w:rPr>
                <w:rFonts w:hint="eastAsia" w:hAnsi="宋体" w:cs="宋体"/>
                <w:color w:val="000000"/>
              </w:rPr>
              <w:t>（运动解剖学、运动生理学）</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rPr>
                <w:rFonts w:hAnsi="宋体"/>
                <w:color w:val="000000"/>
              </w:rPr>
            </w:pPr>
            <w:r>
              <w:rPr>
                <w:rFonts w:hint="eastAsia" w:hAnsi="宋体"/>
                <w:color w:val="000000"/>
              </w:rPr>
              <w:t>《运动解剖学》第三版</w:t>
            </w:r>
            <w:r>
              <w:rPr>
                <w:rFonts w:hAnsi="宋体"/>
                <w:color w:val="000000"/>
              </w:rPr>
              <w:t xml:space="preserve">, </w:t>
            </w:r>
            <w:r>
              <w:rPr>
                <w:rFonts w:hint="eastAsia" w:hAnsi="宋体"/>
                <w:color w:val="000000"/>
              </w:rPr>
              <w:t>李世昌</w:t>
            </w:r>
            <w:r>
              <w:rPr>
                <w:rFonts w:hAnsi="宋体"/>
                <w:color w:val="000000"/>
              </w:rPr>
              <w:t>,</w:t>
            </w:r>
            <w:r>
              <w:rPr>
                <w:rFonts w:hint="eastAsia" w:hAnsi="宋体"/>
                <w:color w:val="000000"/>
              </w:rPr>
              <w:t>高等教育出版社，</w:t>
            </w:r>
            <w:r>
              <w:rPr>
                <w:rFonts w:hAnsi="宋体"/>
                <w:color w:val="000000"/>
              </w:rPr>
              <w:t>201</w:t>
            </w:r>
            <w:r>
              <w:rPr>
                <w:rFonts w:hint="eastAsia" w:hAnsi="宋体"/>
                <w:color w:val="000000"/>
              </w:rPr>
              <w:t>5年1月（2020.6重印）</w:t>
            </w:r>
            <w:r>
              <w:rPr>
                <w:rFonts w:hAnsi="宋体"/>
                <w:color w:val="000000"/>
              </w:rPr>
              <w:t>,ISBN</w:t>
            </w:r>
            <w:r>
              <w:rPr>
                <w:rFonts w:hint="eastAsia" w:hAnsi="宋体"/>
                <w:color w:val="000000"/>
              </w:rPr>
              <w:t>：</w:t>
            </w:r>
            <w:r>
              <w:rPr>
                <w:rFonts w:hAnsi="宋体"/>
                <w:color w:val="000000"/>
              </w:rPr>
              <w:t>978</w:t>
            </w:r>
            <w:r>
              <w:rPr>
                <w:rFonts w:hint="eastAsia" w:hAnsi="宋体"/>
                <w:color w:val="000000"/>
              </w:rPr>
              <w:t>-</w:t>
            </w:r>
            <w:r>
              <w:rPr>
                <w:rFonts w:hAnsi="宋体"/>
                <w:color w:val="000000"/>
              </w:rPr>
              <w:t>7</w:t>
            </w:r>
            <w:r>
              <w:rPr>
                <w:rFonts w:hint="eastAsia" w:hAnsi="宋体"/>
                <w:color w:val="000000"/>
              </w:rPr>
              <w:t>-04-041922-1</w:t>
            </w:r>
          </w:p>
          <w:p>
            <w:pPr>
              <w:snapToGrid w:val="0"/>
              <w:spacing w:line="240" w:lineRule="atLeast"/>
              <w:jc w:val="left"/>
              <w:rPr>
                <w:rFonts w:hAnsi="宋体"/>
                <w:color w:val="000000"/>
              </w:rPr>
            </w:pPr>
            <w:r>
              <w:rPr>
                <w:rFonts w:hint="eastAsia" w:hAnsi="宋体"/>
                <w:color w:val="000000"/>
              </w:rPr>
              <w:t>《运动生理学》第三版，邓树勋，高等教育出版社，2015.4（2019.12重印），</w:t>
            </w:r>
            <w:r>
              <w:rPr>
                <w:rFonts w:hAnsi="宋体"/>
                <w:color w:val="000000"/>
              </w:rPr>
              <w:t>ISBN</w:t>
            </w:r>
            <w:r>
              <w:rPr>
                <w:rFonts w:hint="eastAsia" w:hAnsi="宋体"/>
                <w:color w:val="000000"/>
              </w:rPr>
              <w:t>：</w:t>
            </w:r>
            <w:r>
              <w:rPr>
                <w:rFonts w:hAnsi="宋体"/>
                <w:color w:val="000000"/>
              </w:rPr>
              <w:t>9787040423099</w:t>
            </w:r>
          </w:p>
        </w:tc>
      </w:tr>
      <w:tr>
        <w:tblPrEx>
          <w:tblCellMar>
            <w:top w:w="0" w:type="dxa"/>
            <w:left w:w="0" w:type="dxa"/>
            <w:bottom w:w="0" w:type="dxa"/>
            <w:right w:w="0" w:type="dxa"/>
          </w:tblCellMar>
        </w:tblPrEx>
        <w:trPr>
          <w:trHeight w:val="1132" w:hRule="exact"/>
          <w:jc w:val="center"/>
        </w:trPr>
        <w:tc>
          <w:tcPr>
            <w:tcW w:w="26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rPr>
                <w:rFonts w:hAnsi="宋体"/>
                <w:color w:val="000000"/>
              </w:rPr>
            </w:pPr>
            <w:r>
              <w:rPr>
                <w:rFonts w:hint="eastAsia" w:hAnsi="宋体"/>
                <w:color w:val="000000"/>
              </w:rPr>
              <w:t>英语基础综合</w:t>
            </w:r>
          </w:p>
          <w:p>
            <w:pPr>
              <w:spacing w:line="400" w:lineRule="exact"/>
              <w:jc w:val="center"/>
              <w:rPr>
                <w:rFonts w:hAnsi="宋体"/>
                <w:color w:val="000000"/>
              </w:rPr>
            </w:pPr>
            <w:r>
              <w:rPr>
                <w:rFonts w:hint="eastAsia" w:hAnsi="宋体"/>
                <w:color w:val="000000"/>
              </w:rPr>
              <w:t>（英语听说、综合英语）</w:t>
            </w:r>
          </w:p>
        </w:tc>
        <w:tc>
          <w:tcPr>
            <w:tcW w:w="652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rPr>
                <w:rFonts w:hAnsi="宋体"/>
                <w:color w:val="000000"/>
              </w:rPr>
            </w:pPr>
            <w:r>
              <w:rPr>
                <w:rFonts w:hint="eastAsia" w:hAnsi="宋体"/>
                <w:color w:val="000000"/>
              </w:rPr>
              <w:t>《综合英语教程2》2011年5月第三版，邹为诚主编，高等教育出版社，</w:t>
            </w:r>
          </w:p>
          <w:p>
            <w:pPr>
              <w:snapToGrid w:val="0"/>
              <w:spacing w:line="240" w:lineRule="atLeast"/>
              <w:jc w:val="left"/>
              <w:rPr>
                <w:rFonts w:hAnsi="宋体"/>
                <w:color w:val="000000"/>
              </w:rPr>
            </w:pPr>
            <w:r>
              <w:rPr>
                <w:rFonts w:hint="eastAsia" w:hAnsi="宋体"/>
                <w:color w:val="000000"/>
              </w:rPr>
              <w:t xml:space="preserve">ISBN: </w:t>
            </w:r>
            <w:r>
              <w:rPr>
                <w:rFonts w:hAnsi="宋体"/>
                <w:color w:val="000000"/>
              </w:rPr>
              <w:t>9787040317541</w:t>
            </w:r>
          </w:p>
          <w:p>
            <w:pPr>
              <w:snapToGrid w:val="0"/>
              <w:spacing w:line="240" w:lineRule="atLeast"/>
              <w:jc w:val="left"/>
              <w:rPr>
                <w:rFonts w:hAnsi="宋体"/>
                <w:color w:val="000000"/>
              </w:rPr>
            </w:pPr>
            <w:r>
              <w:rPr>
                <w:rFonts w:hint="eastAsia" w:hAnsi="宋体"/>
                <w:color w:val="000000"/>
              </w:rPr>
              <w:t>《英语（第二版）听力教程2》2016年10月第二版，高职高专英语专业系列教材编写组，高等教育出版社，ISBN：9787040468335</w:t>
            </w:r>
          </w:p>
        </w:tc>
      </w:tr>
    </w:tbl>
    <w:p>
      <w:pPr>
        <w:spacing w:line="600" w:lineRule="exact"/>
        <w:rPr>
          <w:rFonts w:ascii="仿宋_GB2312" w:hAnsi="仿宋" w:eastAsia="仿宋_GB2312"/>
          <w:color w:val="000000"/>
          <w:sz w:val="32"/>
          <w:szCs w:val="32"/>
        </w:rPr>
      </w:pPr>
    </w:p>
    <w:p>
      <w:pPr>
        <w:spacing w:line="600" w:lineRule="exact"/>
        <w:rPr>
          <w:rFonts w:ascii="仿宋_GB2312" w:hAnsi="仿宋" w:eastAsia="仿宋_GB2312"/>
          <w:color w:val="000000"/>
          <w:sz w:val="32"/>
          <w:szCs w:val="32"/>
        </w:rPr>
      </w:pPr>
    </w:p>
    <w:p>
      <w:pPr>
        <w:spacing w:line="600" w:lineRule="exact"/>
        <w:rPr>
          <w:rFonts w:ascii="仿宋_GB2312" w:hAnsi="仿宋" w:eastAsia="仿宋_GB2312"/>
          <w:color w:val="000000"/>
          <w:sz w:val="32"/>
          <w:szCs w:val="32"/>
        </w:rPr>
      </w:pPr>
    </w:p>
    <w:p>
      <w:pPr>
        <w:spacing w:line="600" w:lineRule="exact"/>
        <w:rPr>
          <w:rFonts w:ascii="仿宋_GB2312" w:hAnsi="仿宋" w:eastAsia="仿宋_GB2312"/>
          <w:color w:val="000000"/>
          <w:sz w:val="32"/>
          <w:szCs w:val="32"/>
        </w:rPr>
      </w:pPr>
    </w:p>
    <w:p>
      <w:pPr>
        <w:spacing w:line="600" w:lineRule="exact"/>
        <w:jc w:val="left"/>
        <w:rPr>
          <w:rFonts w:ascii="黑体" w:hAnsi="黑体" w:eastAsia="黑体"/>
          <w:color w:val="000000"/>
          <w:sz w:val="32"/>
          <w:szCs w:val="32"/>
        </w:rPr>
      </w:pPr>
      <w:r>
        <w:rPr>
          <w:rFonts w:hint="eastAsia" w:ascii="黑体" w:hAnsi="黑体" w:eastAsia="黑体"/>
          <w:color w:val="000000"/>
          <w:sz w:val="32"/>
          <w:szCs w:val="32"/>
        </w:rPr>
        <w:t>附件5</w:t>
      </w:r>
    </w:p>
    <w:p>
      <w:pPr>
        <w:spacing w:line="480" w:lineRule="exact"/>
        <w:jc w:val="center"/>
        <w:rPr>
          <w:rFonts w:ascii="方正小标宋简体" w:hAnsi="仿宋" w:eastAsia="方正小标宋简体"/>
          <w:color w:val="000000"/>
          <w:kern w:val="0"/>
          <w:sz w:val="40"/>
          <w:szCs w:val="44"/>
        </w:rPr>
      </w:pPr>
      <w:r>
        <w:rPr>
          <w:rFonts w:hint="eastAsia" w:ascii="方正小标宋简体" w:hAnsi="仿宋" w:eastAsia="方正小标宋简体"/>
          <w:color w:val="000000"/>
          <w:kern w:val="0"/>
          <w:sz w:val="40"/>
          <w:szCs w:val="44"/>
        </w:rPr>
        <w:t>2021年普通专升本《大学英语》考试大纲</w:t>
      </w:r>
    </w:p>
    <w:p>
      <w:pPr>
        <w:autoSpaceDE w:val="0"/>
        <w:autoSpaceDN w:val="0"/>
        <w:adjustRightInd w:val="0"/>
        <w:spacing w:line="480" w:lineRule="exact"/>
        <w:ind w:firstLine="643" w:firstLineChars="200"/>
        <w:jc w:val="center"/>
        <w:rPr>
          <w:rFonts w:ascii="仿宋" w:hAnsi="仿宋" w:eastAsia="仿宋"/>
          <w:b/>
          <w:color w:val="000000"/>
          <w:sz w:val="32"/>
          <w:szCs w:val="21"/>
        </w:rPr>
      </w:pPr>
    </w:p>
    <w:p>
      <w:pPr>
        <w:spacing w:line="480" w:lineRule="exact"/>
        <w:ind w:firstLine="640" w:firstLineChars="200"/>
        <w:jc w:val="left"/>
        <w:rPr>
          <w:rFonts w:ascii="仿宋" w:hAnsi="仿宋" w:eastAsia="仿宋"/>
          <w:color w:val="000000"/>
          <w:sz w:val="32"/>
          <w:szCs w:val="21"/>
        </w:rPr>
      </w:pPr>
      <w:r>
        <w:rPr>
          <w:rFonts w:ascii="仿宋" w:hAnsi="仿宋" w:eastAsia="仿宋"/>
          <w:color w:val="000000"/>
          <w:kern w:val="0"/>
          <w:sz w:val="32"/>
          <w:szCs w:val="21"/>
          <w:lang w:val="zh-CN"/>
        </w:rPr>
        <w:t>本考试的目的是</w:t>
      </w:r>
      <w:r>
        <w:rPr>
          <w:rFonts w:hint="eastAsia" w:ascii="仿宋" w:hAnsi="仿宋" w:eastAsia="仿宋"/>
          <w:color w:val="000000"/>
          <w:kern w:val="0"/>
          <w:sz w:val="32"/>
          <w:szCs w:val="21"/>
          <w:lang w:val="zh-CN"/>
        </w:rPr>
        <w:t>选拔部分高职高专毕业生升入普通本科高校继续进行相关专业本科阶段学习，考查考生是否具有</w:t>
      </w:r>
      <w:r>
        <w:rPr>
          <w:rFonts w:ascii="仿宋" w:hAnsi="仿宋" w:eastAsia="仿宋"/>
          <w:color w:val="000000"/>
          <w:kern w:val="0"/>
          <w:sz w:val="32"/>
          <w:szCs w:val="21"/>
          <w:lang w:val="zh-CN"/>
        </w:rPr>
        <w:t>运用各项基本</w:t>
      </w:r>
      <w:r>
        <w:rPr>
          <w:rFonts w:hint="eastAsia" w:ascii="仿宋" w:hAnsi="仿宋" w:eastAsia="仿宋"/>
          <w:color w:val="000000"/>
          <w:kern w:val="0"/>
          <w:sz w:val="32"/>
          <w:szCs w:val="21"/>
          <w:lang w:val="zh-CN"/>
        </w:rPr>
        <w:t>英语</w:t>
      </w:r>
      <w:r>
        <w:rPr>
          <w:rFonts w:ascii="仿宋" w:hAnsi="仿宋" w:eastAsia="仿宋"/>
          <w:color w:val="000000"/>
          <w:kern w:val="0"/>
          <w:sz w:val="32"/>
          <w:szCs w:val="21"/>
          <w:lang w:val="zh-CN"/>
        </w:rPr>
        <w:t>技能的能力以及学生对语法结构和词语用法的掌握程度，既测试学生的综合能力，也测试学生的单项技能。</w:t>
      </w:r>
    </w:p>
    <w:p>
      <w:pPr>
        <w:autoSpaceDE w:val="0"/>
        <w:autoSpaceDN w:val="0"/>
        <w:adjustRightInd w:val="0"/>
        <w:spacing w:line="480" w:lineRule="exact"/>
        <w:ind w:firstLine="640" w:firstLineChars="200"/>
        <w:jc w:val="left"/>
        <w:rPr>
          <w:rFonts w:ascii="黑体" w:hAnsi="黑体" w:eastAsia="黑体"/>
          <w:color w:val="000000"/>
          <w:sz w:val="32"/>
          <w:szCs w:val="21"/>
        </w:rPr>
      </w:pPr>
      <w:r>
        <w:rPr>
          <w:rFonts w:hint="eastAsia" w:ascii="黑体" w:hAnsi="黑体" w:eastAsia="黑体"/>
          <w:color w:val="000000"/>
          <w:sz w:val="32"/>
          <w:szCs w:val="21"/>
        </w:rPr>
        <w:t>一、考试科目名称：</w:t>
      </w:r>
      <w:r>
        <w:rPr>
          <w:rFonts w:hint="eastAsia" w:ascii="仿宋" w:hAnsi="仿宋" w:eastAsia="仿宋"/>
          <w:color w:val="000000"/>
          <w:kern w:val="0"/>
          <w:sz w:val="32"/>
          <w:szCs w:val="21"/>
          <w:lang w:val="zh-CN"/>
        </w:rPr>
        <w:t>《大学英语》</w:t>
      </w:r>
    </w:p>
    <w:p>
      <w:pPr>
        <w:autoSpaceDE w:val="0"/>
        <w:autoSpaceDN w:val="0"/>
        <w:adjustRightInd w:val="0"/>
        <w:spacing w:line="480" w:lineRule="exact"/>
        <w:ind w:firstLine="640" w:firstLineChars="200"/>
        <w:jc w:val="left"/>
        <w:rPr>
          <w:rFonts w:ascii="黑体" w:hAnsi="黑体" w:eastAsia="黑体"/>
          <w:color w:val="000000"/>
          <w:sz w:val="32"/>
          <w:szCs w:val="21"/>
        </w:rPr>
      </w:pPr>
      <w:r>
        <w:rPr>
          <w:rFonts w:hint="eastAsia" w:ascii="黑体" w:hAnsi="黑体" w:eastAsia="黑体"/>
          <w:color w:val="000000"/>
          <w:sz w:val="32"/>
          <w:szCs w:val="21"/>
        </w:rPr>
        <w:t>二、考试方式：</w:t>
      </w:r>
      <w:r>
        <w:rPr>
          <w:rFonts w:hint="eastAsia" w:ascii="仿宋" w:hAnsi="仿宋" w:eastAsia="仿宋"/>
          <w:color w:val="000000"/>
          <w:kern w:val="0"/>
          <w:sz w:val="32"/>
          <w:szCs w:val="21"/>
          <w:lang w:val="zh-CN"/>
        </w:rPr>
        <w:t>笔试、闭卷</w:t>
      </w:r>
    </w:p>
    <w:p>
      <w:pPr>
        <w:autoSpaceDE w:val="0"/>
        <w:autoSpaceDN w:val="0"/>
        <w:adjustRightInd w:val="0"/>
        <w:spacing w:line="480" w:lineRule="exact"/>
        <w:ind w:firstLine="640" w:firstLineChars="200"/>
        <w:jc w:val="left"/>
        <w:rPr>
          <w:rFonts w:ascii="黑体" w:hAnsi="黑体" w:eastAsia="黑体"/>
          <w:color w:val="000000"/>
          <w:sz w:val="32"/>
          <w:szCs w:val="21"/>
        </w:rPr>
      </w:pPr>
      <w:r>
        <w:rPr>
          <w:rFonts w:hint="eastAsia" w:ascii="黑体" w:hAnsi="黑体" w:eastAsia="黑体"/>
          <w:color w:val="000000"/>
          <w:sz w:val="32"/>
          <w:szCs w:val="21"/>
        </w:rPr>
        <w:t>三、考试时间：</w:t>
      </w:r>
      <w:r>
        <w:rPr>
          <w:rFonts w:ascii="仿宋" w:hAnsi="仿宋" w:eastAsia="仿宋"/>
          <w:color w:val="000000"/>
          <w:kern w:val="0"/>
          <w:sz w:val="32"/>
          <w:szCs w:val="21"/>
          <w:lang w:val="zh-CN"/>
        </w:rPr>
        <w:t>120分钟</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黑体" w:hAnsi="黑体" w:eastAsia="黑体"/>
          <w:color w:val="000000"/>
          <w:sz w:val="32"/>
          <w:szCs w:val="21"/>
        </w:rPr>
        <w:t>四、试卷结构：</w:t>
      </w:r>
      <w:r>
        <w:rPr>
          <w:rFonts w:hint="eastAsia" w:ascii="仿宋" w:hAnsi="仿宋" w:eastAsia="仿宋"/>
          <w:color w:val="000000"/>
          <w:kern w:val="0"/>
          <w:sz w:val="32"/>
          <w:szCs w:val="21"/>
          <w:lang w:val="zh-CN"/>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szCs w:val="21"/>
          <w:lang w:val="zh-CN"/>
        </w:rPr>
      </w:pPr>
      <w:r>
        <w:rPr>
          <w:rFonts w:hint="eastAsia" w:ascii="楷体_GB2312" w:hAnsi="仿宋" w:eastAsia="楷体_GB2312"/>
          <w:b/>
          <w:color w:val="000000"/>
          <w:kern w:val="0"/>
          <w:sz w:val="32"/>
          <w:szCs w:val="21"/>
          <w:lang w:val="zh-CN"/>
        </w:rPr>
        <w:t>1.英语应用（共25分）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szCs w:val="21"/>
          <w:lang w:val="zh-CN"/>
        </w:rPr>
      </w:pPr>
      <w:r>
        <w:rPr>
          <w:rFonts w:hint="eastAsia" w:ascii="楷体_GB2312" w:hAnsi="仿宋" w:eastAsia="楷体_GB2312"/>
          <w:b/>
          <w:color w:val="000000"/>
          <w:kern w:val="0"/>
          <w:sz w:val="32"/>
          <w:szCs w:val="21"/>
          <w:lang w:val="zh-CN"/>
        </w:rPr>
        <w:t>2.阅读理解（共45分）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篇章1.[选择题，4选1]5小题（每小题2分，共10分）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篇章2.[选择题，4选1]5小题（每小题2分，共10分）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篇章3.[选择题，4选1]5小题（每小题2分，共10分）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篇章4.[选择题，4选1]5小题（每小题2分，共10分）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szCs w:val="21"/>
          <w:lang w:val="zh-CN"/>
        </w:rPr>
      </w:pPr>
      <w:r>
        <w:rPr>
          <w:rFonts w:hint="eastAsia" w:ascii="楷体_GB2312" w:hAnsi="仿宋" w:eastAsia="楷体_GB2312"/>
          <w:b/>
          <w:color w:val="000000"/>
          <w:kern w:val="0"/>
          <w:sz w:val="32"/>
          <w:szCs w:val="21"/>
          <w:lang w:val="zh-CN"/>
        </w:rPr>
        <w:t>3.英译汉（共20分）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单句翻译：[选择题，3选1]5小题（每小题2分，共10分）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szCs w:val="21"/>
          <w:lang w:val="zh-CN"/>
        </w:rPr>
      </w:pPr>
      <w:r>
        <w:rPr>
          <w:rFonts w:hint="eastAsia" w:ascii="楷体_GB2312" w:hAnsi="仿宋" w:eastAsia="楷体_GB2312"/>
          <w:b/>
          <w:color w:val="000000"/>
          <w:kern w:val="0"/>
          <w:sz w:val="32"/>
          <w:szCs w:val="21"/>
          <w:lang w:val="zh-CN"/>
        </w:rPr>
        <w:t>4.写作（共10分）</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应用文1篇 (10分)</w:t>
      </w:r>
    </w:p>
    <w:p>
      <w:pPr>
        <w:autoSpaceDE w:val="0"/>
        <w:autoSpaceDN w:val="0"/>
        <w:adjustRightInd w:val="0"/>
        <w:spacing w:line="480" w:lineRule="exact"/>
        <w:ind w:firstLine="640" w:firstLineChars="200"/>
        <w:jc w:val="left"/>
        <w:rPr>
          <w:rFonts w:ascii="黑体" w:hAnsi="黑体" w:eastAsia="黑体"/>
          <w:color w:val="000000"/>
          <w:sz w:val="32"/>
          <w:szCs w:val="21"/>
        </w:rPr>
      </w:pPr>
      <w:r>
        <w:rPr>
          <w:rFonts w:hint="eastAsia" w:ascii="黑体" w:hAnsi="黑体" w:eastAsia="黑体"/>
          <w:color w:val="000000"/>
          <w:sz w:val="32"/>
          <w:szCs w:val="21"/>
        </w:rPr>
        <w:t>五、考试的基本要求</w:t>
      </w:r>
    </w:p>
    <w:p>
      <w:pPr>
        <w:autoSpaceDE w:val="0"/>
        <w:autoSpaceDN w:val="0"/>
        <w:adjustRightInd w:val="0"/>
        <w:spacing w:line="480" w:lineRule="exact"/>
        <w:ind w:firstLine="640" w:firstLineChars="200"/>
        <w:jc w:val="left"/>
        <w:rPr>
          <w:rFonts w:ascii="仿宋" w:hAnsi="仿宋" w:eastAsia="仿宋"/>
          <w:b/>
          <w:color w:val="000000"/>
          <w:sz w:val="32"/>
          <w:szCs w:val="21"/>
        </w:rPr>
      </w:pPr>
      <w:r>
        <w:rPr>
          <w:rFonts w:hint="eastAsia" w:ascii="仿宋" w:hAnsi="仿宋" w:eastAsia="仿宋"/>
          <w:color w:val="000000"/>
          <w:kern w:val="0"/>
          <w:sz w:val="32"/>
          <w:szCs w:val="21"/>
          <w:lang w:val="zh-CN"/>
        </w:rPr>
        <w:t>以</w:t>
      </w:r>
      <w:r>
        <w:rPr>
          <w:rFonts w:ascii="仿宋" w:hAnsi="仿宋" w:eastAsia="仿宋"/>
          <w:color w:val="000000"/>
          <w:kern w:val="0"/>
          <w:sz w:val="32"/>
          <w:szCs w:val="21"/>
          <w:lang w:val="zh-CN"/>
        </w:rPr>
        <w:t>《高职高专教育英语课程教学基本要求（试行）》</w:t>
      </w:r>
      <w:r>
        <w:rPr>
          <w:rFonts w:hint="eastAsia" w:ascii="仿宋" w:hAnsi="仿宋" w:eastAsia="仿宋"/>
          <w:color w:val="000000"/>
          <w:kern w:val="0"/>
          <w:sz w:val="32"/>
          <w:szCs w:val="21"/>
          <w:lang w:val="zh-CN"/>
        </w:rPr>
        <w:t>中的B级标准（听力部分除外）为基本要求，注重考查学生</w:t>
      </w:r>
      <w:r>
        <w:rPr>
          <w:rFonts w:hint="eastAsia" w:ascii="仿宋" w:hAnsi="仿宋" w:eastAsia="仿宋"/>
          <w:sz w:val="32"/>
          <w:szCs w:val="21"/>
        </w:rPr>
        <w:t>实际运用语言的能力。</w:t>
      </w:r>
    </w:p>
    <w:p>
      <w:pPr>
        <w:autoSpaceDE w:val="0"/>
        <w:autoSpaceDN w:val="0"/>
        <w:adjustRightInd w:val="0"/>
        <w:spacing w:line="480" w:lineRule="exact"/>
        <w:ind w:firstLine="640" w:firstLineChars="200"/>
        <w:jc w:val="left"/>
        <w:rPr>
          <w:rFonts w:ascii="黑体" w:hAnsi="黑体" w:eastAsia="黑体"/>
          <w:color w:val="000000"/>
          <w:sz w:val="32"/>
          <w:szCs w:val="21"/>
        </w:rPr>
      </w:pPr>
      <w:r>
        <w:rPr>
          <w:rFonts w:hint="eastAsia" w:ascii="黑体" w:hAnsi="黑体" w:eastAsia="黑体"/>
          <w:color w:val="000000"/>
          <w:sz w:val="32"/>
          <w:szCs w:val="21"/>
        </w:rPr>
        <w:t>六、考试范围</w:t>
      </w:r>
    </w:p>
    <w:p>
      <w:pPr>
        <w:autoSpaceDE w:val="0"/>
        <w:autoSpaceDN w:val="0"/>
        <w:adjustRightInd w:val="0"/>
        <w:spacing w:line="480" w:lineRule="exact"/>
        <w:ind w:firstLine="643" w:firstLineChars="200"/>
        <w:jc w:val="left"/>
        <w:rPr>
          <w:rFonts w:ascii="仿宋" w:hAnsi="仿宋" w:eastAsia="仿宋"/>
          <w:color w:val="000000"/>
          <w:sz w:val="32"/>
          <w:szCs w:val="21"/>
          <w:lang w:val="zh-CN"/>
        </w:rPr>
      </w:pPr>
      <w:r>
        <w:rPr>
          <w:rFonts w:ascii="楷体_GB2312" w:hAnsi="仿宋" w:eastAsia="楷体_GB2312"/>
          <w:b/>
          <w:color w:val="000000"/>
          <w:kern w:val="0"/>
          <w:sz w:val="32"/>
          <w:szCs w:val="21"/>
          <w:lang w:val="zh-CN"/>
        </w:rPr>
        <w:t>1.词汇</w:t>
      </w:r>
      <w:r>
        <w:rPr>
          <w:rFonts w:hint="eastAsia" w:ascii="楷体_GB2312" w:hAnsi="仿宋" w:eastAsia="楷体_GB2312"/>
          <w:b/>
          <w:color w:val="000000"/>
          <w:kern w:val="0"/>
          <w:sz w:val="32"/>
          <w:szCs w:val="21"/>
          <w:lang w:val="zh-CN"/>
        </w:rPr>
        <w:t>。</w:t>
      </w:r>
      <w:r>
        <w:rPr>
          <w:rFonts w:hint="eastAsia" w:ascii="仿宋" w:hAnsi="仿宋" w:eastAsia="仿宋"/>
          <w:color w:val="000000"/>
          <w:kern w:val="0"/>
          <w:sz w:val="32"/>
          <w:szCs w:val="21"/>
          <w:lang w:val="zh-CN"/>
        </w:rPr>
        <w:t>掌握</w:t>
      </w:r>
      <w:r>
        <w:rPr>
          <w:rFonts w:ascii="仿宋" w:hAnsi="仿宋" w:eastAsia="仿宋"/>
          <w:color w:val="000000"/>
          <w:kern w:val="0"/>
          <w:sz w:val="32"/>
          <w:szCs w:val="21"/>
          <w:lang w:val="zh-CN"/>
        </w:rPr>
        <w:t>2500个英语单词以及由这些词构成的常用词组，对其中1500</w:t>
      </w:r>
      <w:r>
        <w:rPr>
          <w:rFonts w:hint="eastAsia" w:ascii="仿宋" w:hAnsi="仿宋" w:eastAsia="仿宋"/>
          <w:color w:val="000000"/>
          <w:kern w:val="0"/>
          <w:sz w:val="32"/>
          <w:szCs w:val="21"/>
          <w:lang w:val="zh-CN"/>
        </w:rPr>
        <w:t>个</w:t>
      </w:r>
      <w:r>
        <w:rPr>
          <w:rFonts w:ascii="仿宋" w:hAnsi="仿宋" w:eastAsia="仿宋"/>
          <w:color w:val="000000"/>
          <w:kern w:val="0"/>
          <w:sz w:val="32"/>
          <w:szCs w:val="21"/>
          <w:lang w:val="zh-CN"/>
        </w:rPr>
        <w:t>左右的单词能正确拼写，英汉互译。</w:t>
      </w:r>
    </w:p>
    <w:p>
      <w:pPr>
        <w:autoSpaceDE w:val="0"/>
        <w:autoSpaceDN w:val="0"/>
        <w:adjustRightInd w:val="0"/>
        <w:spacing w:line="480" w:lineRule="exact"/>
        <w:ind w:firstLine="643" w:firstLineChars="200"/>
        <w:jc w:val="left"/>
        <w:rPr>
          <w:rFonts w:ascii="仿宋" w:hAnsi="仿宋" w:eastAsia="仿宋"/>
          <w:color w:val="000000"/>
          <w:kern w:val="0"/>
          <w:sz w:val="32"/>
          <w:szCs w:val="21"/>
          <w:lang w:val="zh-CN"/>
        </w:rPr>
      </w:pPr>
      <w:r>
        <w:rPr>
          <w:rFonts w:ascii="楷体_GB2312" w:hAnsi="仿宋" w:eastAsia="楷体_GB2312"/>
          <w:b/>
          <w:color w:val="000000"/>
          <w:kern w:val="0"/>
          <w:sz w:val="32"/>
          <w:szCs w:val="21"/>
          <w:lang w:val="zh-CN"/>
        </w:rPr>
        <w:t>2.语法</w:t>
      </w:r>
      <w:r>
        <w:rPr>
          <w:rFonts w:hint="eastAsia" w:ascii="楷体_GB2312" w:hAnsi="仿宋" w:eastAsia="楷体_GB2312"/>
          <w:b/>
          <w:color w:val="000000"/>
          <w:kern w:val="0"/>
          <w:sz w:val="32"/>
          <w:szCs w:val="21"/>
          <w:lang w:val="zh-CN"/>
        </w:rPr>
        <w:t>。</w:t>
      </w:r>
      <w:r>
        <w:rPr>
          <w:rFonts w:ascii="仿宋" w:hAnsi="仿宋" w:eastAsia="仿宋"/>
          <w:color w:val="000000"/>
          <w:kern w:val="0"/>
          <w:sz w:val="32"/>
          <w:szCs w:val="21"/>
          <w:lang w:val="zh-CN"/>
        </w:rPr>
        <w:t>掌握基本的英语语法规则，在听、说、读、写、译中能正确运用所学语法知识。</w:t>
      </w:r>
    </w:p>
    <w:p>
      <w:pPr>
        <w:autoSpaceDE w:val="0"/>
        <w:autoSpaceDN w:val="0"/>
        <w:adjustRightInd w:val="0"/>
        <w:spacing w:line="480" w:lineRule="exact"/>
        <w:ind w:firstLine="643" w:firstLineChars="200"/>
        <w:jc w:val="left"/>
        <w:rPr>
          <w:rFonts w:ascii="仿宋" w:hAnsi="仿宋" w:eastAsia="仿宋"/>
          <w:color w:val="000000"/>
          <w:kern w:val="0"/>
          <w:sz w:val="32"/>
          <w:szCs w:val="21"/>
          <w:lang w:val="zh-CN"/>
        </w:rPr>
      </w:pPr>
      <w:r>
        <w:rPr>
          <w:rFonts w:ascii="楷体_GB2312" w:hAnsi="仿宋" w:eastAsia="楷体_GB2312"/>
          <w:b/>
          <w:color w:val="000000"/>
          <w:kern w:val="0"/>
          <w:sz w:val="32"/>
          <w:szCs w:val="21"/>
          <w:lang w:val="zh-CN"/>
        </w:rPr>
        <w:t>3.阅读</w:t>
      </w:r>
      <w:r>
        <w:rPr>
          <w:rFonts w:hint="eastAsia" w:ascii="楷体_GB2312" w:hAnsi="仿宋" w:eastAsia="楷体_GB2312"/>
          <w:b/>
          <w:color w:val="000000"/>
          <w:kern w:val="0"/>
          <w:sz w:val="32"/>
          <w:szCs w:val="21"/>
          <w:lang w:val="zh-CN"/>
        </w:rPr>
        <w:t>。</w:t>
      </w:r>
      <w:r>
        <w:rPr>
          <w:rFonts w:ascii="仿宋" w:hAnsi="仿宋" w:eastAsia="仿宋"/>
          <w:color w:val="000000"/>
          <w:kern w:val="0"/>
          <w:sz w:val="32"/>
          <w:szCs w:val="21"/>
          <w:lang w:val="zh-CN"/>
        </w:rPr>
        <w:t>能阅读中等难度的一般题材的简短英文资料，理解正确。在阅读生词不超过总词数3%的英文资料时，阅读速度不低于每分钟50词。能读懂通用的简短实用文字材料，如信函、产品说明等，理解基本正确。</w:t>
      </w:r>
    </w:p>
    <w:p>
      <w:pPr>
        <w:autoSpaceDE w:val="0"/>
        <w:autoSpaceDN w:val="0"/>
        <w:adjustRightInd w:val="0"/>
        <w:spacing w:line="480" w:lineRule="exact"/>
        <w:ind w:firstLine="643" w:firstLineChars="200"/>
        <w:jc w:val="left"/>
        <w:rPr>
          <w:rFonts w:ascii="仿宋" w:hAnsi="仿宋" w:eastAsia="仿宋"/>
          <w:color w:val="000000"/>
          <w:kern w:val="0"/>
          <w:sz w:val="32"/>
          <w:szCs w:val="21"/>
          <w:lang w:val="zh-CN"/>
        </w:rPr>
      </w:pPr>
      <w:r>
        <w:rPr>
          <w:rFonts w:ascii="楷体_GB2312" w:hAnsi="仿宋" w:eastAsia="楷体_GB2312"/>
          <w:b/>
          <w:color w:val="000000"/>
          <w:kern w:val="0"/>
          <w:sz w:val="32"/>
          <w:szCs w:val="21"/>
          <w:lang w:val="zh-CN"/>
        </w:rPr>
        <w:t>4.翻译（英译汉）</w:t>
      </w:r>
      <w:r>
        <w:rPr>
          <w:rFonts w:hint="eastAsia" w:ascii="楷体_GB2312" w:hAnsi="仿宋" w:eastAsia="楷体_GB2312"/>
          <w:b/>
          <w:color w:val="000000"/>
          <w:kern w:val="0"/>
          <w:sz w:val="32"/>
          <w:szCs w:val="21"/>
          <w:lang w:val="zh-CN"/>
        </w:rPr>
        <w:t>。</w:t>
      </w:r>
      <w:r>
        <w:rPr>
          <w:rFonts w:ascii="仿宋" w:hAnsi="仿宋" w:eastAsia="仿宋"/>
          <w:color w:val="000000"/>
          <w:kern w:val="0"/>
          <w:sz w:val="32"/>
          <w:szCs w:val="21"/>
          <w:lang w:val="zh-CN"/>
        </w:rPr>
        <w:t>能将中等</w:t>
      </w:r>
      <w:r>
        <w:rPr>
          <w:rFonts w:hint="eastAsia" w:ascii="仿宋" w:hAnsi="仿宋" w:eastAsia="仿宋"/>
          <w:color w:val="000000"/>
          <w:kern w:val="0"/>
          <w:sz w:val="32"/>
          <w:szCs w:val="21"/>
          <w:lang w:val="zh-CN"/>
        </w:rPr>
        <w:t>偏易</w:t>
      </w:r>
      <w:r>
        <w:rPr>
          <w:rFonts w:ascii="仿宋" w:hAnsi="仿宋" w:eastAsia="仿宋"/>
          <w:color w:val="000000"/>
          <w:kern w:val="0"/>
          <w:sz w:val="32"/>
          <w:szCs w:val="21"/>
          <w:lang w:val="zh-CN"/>
        </w:rPr>
        <w:t>难度的一般题材的文字材料和对外交往中的一般业务的英文材料译成汉语。理解正确，译文达意，格式恰当。</w:t>
      </w:r>
    </w:p>
    <w:p>
      <w:pPr>
        <w:autoSpaceDE w:val="0"/>
        <w:autoSpaceDN w:val="0"/>
        <w:adjustRightInd w:val="0"/>
        <w:spacing w:line="480" w:lineRule="exact"/>
        <w:ind w:firstLine="643" w:firstLineChars="200"/>
        <w:jc w:val="left"/>
        <w:rPr>
          <w:rFonts w:ascii="仿宋" w:hAnsi="仿宋" w:eastAsia="仿宋"/>
          <w:color w:val="000000"/>
          <w:sz w:val="32"/>
          <w:szCs w:val="21"/>
          <w:lang w:val="zh-CN"/>
        </w:rPr>
      </w:pPr>
      <w:r>
        <w:rPr>
          <w:rFonts w:ascii="楷体_GB2312" w:hAnsi="仿宋" w:eastAsia="楷体_GB2312"/>
          <w:b/>
          <w:color w:val="000000"/>
          <w:kern w:val="0"/>
          <w:sz w:val="32"/>
          <w:szCs w:val="21"/>
          <w:lang w:val="zh-CN"/>
        </w:rPr>
        <w:t>5.写作</w:t>
      </w:r>
      <w:r>
        <w:rPr>
          <w:rFonts w:hint="eastAsia" w:ascii="楷体_GB2312" w:hAnsi="仿宋" w:eastAsia="楷体_GB2312"/>
          <w:b/>
          <w:color w:val="000000"/>
          <w:kern w:val="0"/>
          <w:sz w:val="32"/>
          <w:szCs w:val="21"/>
          <w:lang w:val="zh-CN"/>
        </w:rPr>
        <w:t>。</w:t>
      </w:r>
      <w:r>
        <w:rPr>
          <w:rFonts w:ascii="仿宋" w:hAnsi="仿宋" w:eastAsia="仿宋"/>
          <w:color w:val="000000"/>
          <w:kern w:val="0"/>
          <w:sz w:val="32"/>
          <w:szCs w:val="21"/>
          <w:lang w:val="zh-CN"/>
        </w:rPr>
        <w:t>能运用所学词汇和语法</w:t>
      </w:r>
      <w:r>
        <w:rPr>
          <w:rFonts w:hint="eastAsia" w:ascii="仿宋" w:hAnsi="仿宋" w:eastAsia="仿宋"/>
          <w:color w:val="000000"/>
          <w:kern w:val="0"/>
          <w:sz w:val="32"/>
          <w:szCs w:val="21"/>
          <w:lang w:val="zh-CN"/>
        </w:rPr>
        <w:t>用英语</w:t>
      </w:r>
      <w:r>
        <w:rPr>
          <w:rFonts w:ascii="仿宋" w:hAnsi="仿宋" w:eastAsia="仿宋"/>
          <w:color w:val="000000"/>
          <w:kern w:val="0"/>
          <w:sz w:val="32"/>
          <w:szCs w:val="21"/>
          <w:lang w:val="zh-CN"/>
        </w:rPr>
        <w:t>写出简短的应用文，</w:t>
      </w:r>
      <w:r>
        <w:rPr>
          <w:rFonts w:hint="eastAsia" w:ascii="仿宋" w:hAnsi="仿宋" w:eastAsia="仿宋"/>
          <w:color w:val="000000"/>
          <w:kern w:val="0"/>
          <w:sz w:val="32"/>
          <w:szCs w:val="21"/>
          <w:lang w:val="zh-CN"/>
        </w:rPr>
        <w:t>如书信</w:t>
      </w:r>
      <w:r>
        <w:rPr>
          <w:rFonts w:ascii="仿宋" w:hAnsi="仿宋" w:eastAsia="仿宋"/>
          <w:color w:val="000000"/>
          <w:kern w:val="0"/>
          <w:sz w:val="32"/>
          <w:szCs w:val="21"/>
          <w:lang w:val="zh-CN"/>
        </w:rPr>
        <w:t>、便函、简历、通知、</w:t>
      </w:r>
      <w:r>
        <w:rPr>
          <w:rFonts w:hint="eastAsia" w:ascii="仿宋" w:hAnsi="仿宋" w:eastAsia="仿宋"/>
          <w:color w:val="000000"/>
          <w:kern w:val="0"/>
          <w:sz w:val="32"/>
          <w:szCs w:val="21"/>
          <w:lang w:val="zh-CN"/>
        </w:rPr>
        <w:t>海报</w:t>
      </w:r>
      <w:r>
        <w:rPr>
          <w:rFonts w:ascii="仿宋" w:hAnsi="仿宋" w:eastAsia="仿宋"/>
          <w:color w:val="000000"/>
          <w:kern w:val="0"/>
          <w:sz w:val="32"/>
          <w:szCs w:val="21"/>
          <w:lang w:val="zh-CN"/>
        </w:rPr>
        <w:t>等。</w:t>
      </w:r>
      <w:r>
        <w:rPr>
          <w:rFonts w:hint="eastAsia" w:ascii="仿宋" w:hAnsi="仿宋" w:eastAsia="仿宋"/>
          <w:color w:val="000000"/>
          <w:kern w:val="0"/>
          <w:sz w:val="32"/>
          <w:szCs w:val="21"/>
          <w:lang w:val="zh-CN"/>
        </w:rPr>
        <w:t>要求</w:t>
      </w:r>
      <w:r>
        <w:rPr>
          <w:rFonts w:ascii="仿宋" w:hAnsi="仿宋" w:eastAsia="仿宋"/>
          <w:color w:val="000000"/>
          <w:kern w:val="0"/>
          <w:sz w:val="32"/>
          <w:szCs w:val="21"/>
          <w:lang w:val="zh-CN"/>
        </w:rPr>
        <w:t>词句基本正确，无重大语法错误，格式基本恰当，表达清楚。</w:t>
      </w: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p>
    <w:p>
      <w:pPr>
        <w:autoSpaceDE w:val="0"/>
        <w:autoSpaceDN w:val="0"/>
        <w:adjustRightInd w:val="0"/>
        <w:spacing w:line="480" w:lineRule="exact"/>
        <w:ind w:firstLine="640" w:firstLineChars="200"/>
        <w:jc w:val="left"/>
        <w:rPr>
          <w:rFonts w:ascii="仿宋" w:hAnsi="仿宋" w:eastAsia="仿宋"/>
          <w:color w:val="000000"/>
          <w:kern w:val="0"/>
          <w:sz w:val="32"/>
          <w:szCs w:val="21"/>
          <w:lang w:val="zh-CN"/>
        </w:rPr>
      </w:pPr>
      <w:r>
        <w:rPr>
          <w:rFonts w:hint="eastAsia" w:ascii="仿宋" w:hAnsi="仿宋" w:eastAsia="仿宋"/>
          <w:color w:val="000000"/>
          <w:kern w:val="0"/>
          <w:sz w:val="32"/>
          <w:szCs w:val="21"/>
          <w:lang w:val="zh-CN"/>
        </w:rPr>
        <w:t>附：高职高专教育英语课程教学基本要求</w:t>
      </w:r>
    </w:p>
    <w:p>
      <w:pPr>
        <w:widowControl/>
        <w:spacing w:line="480" w:lineRule="exact"/>
        <w:jc w:val="left"/>
        <w:rPr>
          <w:rFonts w:hint="eastAsia" w:ascii="黑体" w:hAnsi="黑体" w:eastAsia="黑体"/>
          <w:color w:val="000000"/>
          <w:kern w:val="0"/>
          <w:sz w:val="32"/>
          <w:szCs w:val="32"/>
          <w:lang w:val="en-US" w:eastAsia="zh-CN"/>
        </w:rPr>
      </w:pPr>
      <w:r>
        <w:rPr>
          <w:szCs w:val="21"/>
        </w:rPr>
        <w:br w:type="page"/>
      </w:r>
      <w:r>
        <w:rPr>
          <w:rFonts w:hint="eastAsia" w:ascii="黑体" w:hAnsi="黑体" w:eastAsia="黑体"/>
          <w:color w:val="000000"/>
          <w:kern w:val="0"/>
          <w:sz w:val="32"/>
          <w:szCs w:val="32"/>
        </w:rPr>
        <w:t>附</w:t>
      </w:r>
      <w:r>
        <w:rPr>
          <w:rFonts w:hint="eastAsia" w:ascii="黑体" w:hAnsi="黑体" w:eastAsia="黑体"/>
          <w:color w:val="000000"/>
          <w:kern w:val="0"/>
          <w:sz w:val="32"/>
          <w:szCs w:val="32"/>
          <w:lang w:val="en-US" w:eastAsia="zh-CN"/>
        </w:rPr>
        <w:t>6</w:t>
      </w:r>
      <w:bookmarkStart w:id="0" w:name="_GoBack"/>
      <w:bookmarkEnd w:id="0"/>
    </w:p>
    <w:p>
      <w:pPr>
        <w:spacing w:line="480" w:lineRule="exact"/>
        <w:jc w:val="center"/>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jc w:val="center"/>
        <w:rPr>
          <w:rFonts w:ascii="仿宋" w:hAnsi="仿宋" w:eastAsia="仿宋"/>
          <w:kern w:val="0"/>
          <w:sz w:val="32"/>
          <w:szCs w:val="21"/>
        </w:rPr>
      </w:pPr>
      <w:r>
        <w:rPr>
          <w:rFonts w:hint="eastAsia" w:ascii="仿宋" w:hAnsi="仿宋" w:eastAsia="仿宋"/>
          <w:kern w:val="0"/>
          <w:sz w:val="32"/>
          <w:szCs w:val="21"/>
        </w:rPr>
        <w:t>（教育部高等教育司2000年10月颁布/试行）</w:t>
      </w:r>
    </w:p>
    <w:p>
      <w:pPr>
        <w:snapToGrid w:val="0"/>
        <w:spacing w:line="480" w:lineRule="exact"/>
        <w:ind w:firstLine="640" w:firstLineChars="200"/>
        <w:jc w:val="center"/>
        <w:rPr>
          <w:rFonts w:ascii="仿宋" w:hAnsi="仿宋" w:eastAsia="仿宋"/>
          <w:kern w:val="0"/>
          <w:sz w:val="32"/>
          <w:szCs w:val="21"/>
        </w:rPr>
      </w:pPr>
    </w:p>
    <w:p>
      <w:pPr>
        <w:snapToGrid w:val="0"/>
        <w:spacing w:line="480" w:lineRule="exact"/>
        <w:jc w:val="center"/>
        <w:rPr>
          <w:rFonts w:ascii="黑体" w:hAnsi="黑体" w:eastAsia="黑体"/>
          <w:kern w:val="0"/>
          <w:sz w:val="32"/>
          <w:szCs w:val="21"/>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szCs w:val="21"/>
        </w:rPr>
      </w:pPr>
      <w:r>
        <w:rPr>
          <w:rFonts w:hint="eastAsia" w:ascii="仿宋" w:hAnsi="仿宋" w:eastAsia="仿宋"/>
          <w:kern w:val="0"/>
          <w:sz w:val="32"/>
          <w:szCs w:val="21"/>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szCs w:val="21"/>
        </w:rPr>
        <w:t>1000个（较低要求）-1600个（标准要求），在听、说、读、写、译等方面受过初步的训练。</w:t>
      </w:r>
    </w:p>
    <w:p>
      <w:pPr>
        <w:snapToGrid w:val="0"/>
        <w:spacing w:line="480" w:lineRule="exact"/>
        <w:jc w:val="center"/>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szCs w:val="21"/>
        </w:rPr>
      </w:pPr>
      <w:r>
        <w:rPr>
          <w:rFonts w:hint="eastAsia" w:ascii="仿宋" w:hAnsi="仿宋" w:eastAsia="仿宋"/>
          <w:kern w:val="0"/>
          <w:sz w:val="32"/>
          <w:szCs w:val="21"/>
        </w:rPr>
        <w:t>高职高专教育英语课程的教学目的是：经过</w:t>
      </w:r>
      <w:r>
        <w:rPr>
          <w:rFonts w:ascii="仿宋" w:hAnsi="仿宋" w:eastAsia="仿宋"/>
          <w:kern w:val="0"/>
          <w:sz w:val="32"/>
          <w:szCs w:val="21"/>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jc w:val="center"/>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szCs w:val="21"/>
        </w:rPr>
      </w:pPr>
      <w:r>
        <w:rPr>
          <w:rFonts w:hint="eastAsia" w:ascii="仿宋" w:hAnsi="仿宋" w:eastAsia="仿宋"/>
          <w:kern w:val="0"/>
          <w:sz w:val="32"/>
          <w:szCs w:val="21"/>
        </w:rPr>
        <w:t>鉴于目前高职、高专和成人高专学生入学时的英语水平差异较大，本课程的教学要求分为</w:t>
      </w:r>
      <w:r>
        <w:rPr>
          <w:rFonts w:ascii="仿宋" w:hAnsi="仿宋" w:eastAsia="仿宋"/>
          <w:kern w:val="0"/>
          <w:sz w:val="32"/>
          <w:szCs w:val="21"/>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szCs w:val="21"/>
        </w:rPr>
      </w:pPr>
      <w:r>
        <w:rPr>
          <w:rFonts w:hint="eastAsia" w:ascii="仿宋" w:hAnsi="仿宋" w:eastAsia="仿宋"/>
          <w:kern w:val="0"/>
          <w:sz w:val="32"/>
          <w:szCs w:val="21"/>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1.词汇</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B级：认知2500个英语单词（包括入学时要求掌握的1000个词）以及由这些词构成的常用词组，对其中1500</w:t>
      </w:r>
      <w:r>
        <w:rPr>
          <w:rFonts w:hint="eastAsia" w:ascii="仿宋" w:hAnsi="仿宋" w:eastAsia="仿宋"/>
          <w:kern w:val="0"/>
          <w:sz w:val="32"/>
          <w:szCs w:val="21"/>
        </w:rPr>
        <w:t>个</w:t>
      </w:r>
      <w:r>
        <w:rPr>
          <w:rFonts w:ascii="仿宋" w:hAnsi="仿宋" w:eastAsia="仿宋"/>
          <w:kern w:val="0"/>
          <w:sz w:val="32"/>
          <w:szCs w:val="21"/>
        </w:rPr>
        <w:t>左右的单词能正确拼写，英汉互译。</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2.语法</w:t>
      </w:r>
    </w:p>
    <w:p>
      <w:pPr>
        <w:snapToGrid w:val="0"/>
        <w:spacing w:line="480" w:lineRule="exact"/>
        <w:ind w:firstLine="640" w:firstLineChars="200"/>
        <w:jc w:val="left"/>
        <w:rPr>
          <w:rFonts w:ascii="仿宋" w:hAnsi="仿宋" w:eastAsia="仿宋"/>
          <w:kern w:val="0"/>
          <w:sz w:val="32"/>
          <w:szCs w:val="21"/>
        </w:rPr>
      </w:pPr>
      <w:r>
        <w:rPr>
          <w:rFonts w:hint="eastAsia" w:ascii="仿宋" w:hAnsi="仿宋" w:eastAsia="仿宋"/>
          <w:kern w:val="0"/>
          <w:sz w:val="32"/>
          <w:szCs w:val="21"/>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3.听力</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4.口语</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5.阅读</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6.写作</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szCs w:val="21"/>
        </w:rPr>
      </w:pPr>
      <w:r>
        <w:rPr>
          <w:rFonts w:ascii="仿宋" w:hAnsi="仿宋" w:eastAsia="仿宋"/>
          <w:b/>
          <w:kern w:val="0"/>
          <w:sz w:val="32"/>
          <w:szCs w:val="21"/>
        </w:rPr>
        <w:t>7</w:t>
      </w:r>
      <w:r>
        <w:rPr>
          <w:rFonts w:hint="eastAsia" w:ascii="仿宋" w:hAnsi="仿宋" w:eastAsia="仿宋"/>
          <w:b/>
          <w:kern w:val="0"/>
          <w:sz w:val="32"/>
          <w:szCs w:val="21"/>
        </w:rPr>
        <w:t>.</w:t>
      </w:r>
      <w:r>
        <w:rPr>
          <w:rFonts w:ascii="仿宋" w:hAnsi="仿宋" w:eastAsia="仿宋"/>
          <w:b/>
          <w:kern w:val="0"/>
          <w:sz w:val="32"/>
          <w:szCs w:val="21"/>
        </w:rPr>
        <w:t>翻译（英译汉）</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szCs w:val="21"/>
        </w:rPr>
      </w:pPr>
      <w:r>
        <w:rPr>
          <w:rFonts w:ascii="仿宋" w:hAnsi="仿宋" w:eastAsia="仿宋"/>
          <w:kern w:val="0"/>
          <w:sz w:val="32"/>
          <w:szCs w:val="21"/>
        </w:rPr>
        <w:t>B级：能借助词典将中等偏下难度的一般题材的文字材料译成汉语。理解正确，译文达意。</w:t>
      </w:r>
    </w:p>
    <w:p>
      <w:pPr>
        <w:snapToGrid w:val="0"/>
        <w:spacing w:line="480" w:lineRule="exact"/>
        <w:jc w:val="center"/>
        <w:rPr>
          <w:rFonts w:ascii="仿宋" w:hAnsi="仿宋" w:eastAsia="仿宋"/>
          <w:kern w:val="0"/>
          <w:sz w:val="32"/>
          <w:szCs w:val="21"/>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szCs w:val="21"/>
        </w:rPr>
      </w:pPr>
      <w:r>
        <w:rPr>
          <w:rFonts w:hint="eastAsia" w:ascii="仿宋" w:hAnsi="仿宋" w:eastAsia="仿宋"/>
          <w:kern w:val="0"/>
          <w:sz w:val="32"/>
          <w:szCs w:val="21"/>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szCs w:val="21"/>
        </w:rPr>
        <w:t>A、B两级（含笔试和口试）。</w:t>
      </w:r>
    </w:p>
    <w:p>
      <w:pPr>
        <w:snapToGrid w:val="0"/>
        <w:spacing w:line="480" w:lineRule="exact"/>
        <w:jc w:val="center"/>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1.</w:t>
      </w:r>
      <w:r>
        <w:rPr>
          <w:rFonts w:hint="eastAsia" w:ascii="仿宋" w:hAnsi="仿宋" w:eastAsia="仿宋"/>
          <w:kern w:val="0"/>
          <w:sz w:val="32"/>
          <w:szCs w:val="21"/>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3.重视语言学习的规律，正确处理听、说、读、写、译之间的关系，确保各项语言能力的协调发展。目前要特别注意加强听说技能的培养。</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5.在完成《基本要求》规定的教学任务后，应结合专业学习，开设专业英语课程，这既可保证学生在校期间英语学习的连续性，又可使他们所学的英语得到实际的应用。</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60" w:lineRule="exact"/>
        <w:ind w:firstLine="640" w:firstLineChars="200"/>
        <w:jc w:val="left"/>
        <w:rPr>
          <w:rFonts w:ascii="仿宋" w:hAnsi="仿宋" w:eastAsia="仿宋"/>
          <w:kern w:val="0"/>
          <w:sz w:val="32"/>
          <w:szCs w:val="21"/>
        </w:rPr>
      </w:pPr>
      <w:r>
        <w:rPr>
          <w:rFonts w:ascii="仿宋" w:hAnsi="仿宋" w:eastAsia="仿宋"/>
          <w:kern w:val="0"/>
          <w:sz w:val="32"/>
          <w:szCs w:val="21"/>
        </w:rPr>
        <w:t>7.积极引进和使用计算机多媒体、网络技术等现代化的教学手段，改善学校的英语教学条件。组织学生参加丰富多彩的</w:t>
      </w:r>
      <w:r>
        <w:rPr>
          <w:rFonts w:hint="eastAsia" w:ascii="仿宋" w:hAnsi="仿宋" w:eastAsia="仿宋"/>
          <w:kern w:val="0"/>
          <w:sz w:val="32"/>
          <w:szCs w:val="21"/>
        </w:rPr>
        <w:t>英语课外活动，营造良好的英语学习氛围，激发学生学习英语的自觉性和积极性。</w:t>
      </w:r>
    </w:p>
    <w:p>
      <w:pPr>
        <w:widowControl/>
        <w:spacing w:line="480" w:lineRule="exact"/>
        <w:jc w:val="left"/>
        <w:rPr>
          <w:kern w:val="0"/>
          <w:szCs w:val="21"/>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jc w:val="center"/>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jc w:val="center"/>
        <w:rPr>
          <w:kern w:val="0"/>
          <w:szCs w:val="21"/>
        </w:rPr>
      </w:pPr>
    </w:p>
    <w:p>
      <w:pPr>
        <w:snapToGrid w:val="0"/>
        <w:spacing w:line="480" w:lineRule="exact"/>
        <w:ind w:firstLine="480"/>
        <w:jc w:val="left"/>
        <w:rPr>
          <w:kern w:val="0"/>
          <w:szCs w:val="21"/>
        </w:rPr>
      </w:pPr>
      <w:r>
        <w:rPr>
          <w:rFonts w:hint="eastAsia" w:ascii="宋体" w:hAnsi="宋体"/>
          <w:kern w:val="0"/>
          <w:sz w:val="24"/>
          <w:szCs w:val="21"/>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szCs w:val="21"/>
        </w:rPr>
      </w:pPr>
      <w:r>
        <w:rPr>
          <w:rFonts w:hint="eastAsia" w:ascii="宋体" w:hAnsi="宋体"/>
          <w:kern w:val="0"/>
          <w:sz w:val="24"/>
          <w:szCs w:val="21"/>
        </w:rPr>
        <w:t>二、本表主要用于指导制定教学大纲、教材编写、测试设计等。</w:t>
      </w:r>
    </w:p>
    <w:p>
      <w:pPr>
        <w:snapToGrid w:val="0"/>
        <w:spacing w:line="480" w:lineRule="exact"/>
        <w:ind w:firstLine="480"/>
        <w:jc w:val="left"/>
        <w:rPr>
          <w:kern w:val="0"/>
          <w:szCs w:val="21"/>
        </w:rPr>
      </w:pPr>
      <w:r>
        <w:rPr>
          <w:rFonts w:hint="eastAsia" w:ascii="宋体" w:hAnsi="宋体"/>
          <w:kern w:val="0"/>
          <w:sz w:val="24"/>
          <w:szCs w:val="21"/>
        </w:rPr>
        <w:t>三、标</w:t>
      </w:r>
      <w:r>
        <w:rPr>
          <w:rFonts w:ascii="宋体" w:hAnsi="宋体"/>
          <w:kern w:val="0"/>
          <w:sz w:val="24"/>
          <w:szCs w:val="21"/>
        </w:rPr>
        <w:t>*号者为A级要求。</w:t>
      </w:r>
    </w:p>
    <w:p>
      <w:pPr>
        <w:snapToGrid w:val="0"/>
        <w:spacing w:line="560" w:lineRule="exact"/>
        <w:jc w:val="center"/>
        <w:rPr>
          <w:kern w:val="0"/>
          <w:szCs w:val="21"/>
        </w:rPr>
      </w:pPr>
      <w:r>
        <w:rPr>
          <w:rFonts w:hint="eastAsia" w:ascii="宋体" w:hAnsi="宋体"/>
          <w:b/>
          <w:bCs/>
          <w:kern w:val="0"/>
          <w:sz w:val="28"/>
          <w:szCs w:val="28"/>
        </w:rPr>
        <w:t>交际范围表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3217"/>
        <w:gridCol w:w="207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jc w:val="center"/>
              <w:rPr>
                <w:kern w:val="0"/>
                <w:sz w:val="18"/>
                <w:szCs w:val="18"/>
              </w:rPr>
            </w:pPr>
          </w:p>
        </w:tc>
        <w:tc>
          <w:tcPr>
            <w:tcW w:w="3255" w:type="dxa"/>
            <w:tcMar>
              <w:top w:w="0" w:type="dxa"/>
              <w:left w:w="108" w:type="dxa"/>
              <w:bottom w:w="0" w:type="dxa"/>
              <w:right w:w="108" w:type="dxa"/>
            </w:tcMar>
            <w:vAlign w:val="center"/>
          </w:tcPr>
          <w:p>
            <w:pPr>
              <w:snapToGrid w:val="0"/>
              <w:spacing w:line="320" w:lineRule="exact"/>
              <w:jc w:val="center"/>
              <w:rPr>
                <w:kern w:val="0"/>
                <w:sz w:val="18"/>
                <w:szCs w:val="18"/>
              </w:rPr>
            </w:pPr>
            <w:r>
              <w:rPr>
                <w:rFonts w:hint="eastAsia" w:ascii="宋体" w:hAnsi="宋体"/>
                <w:kern w:val="0"/>
                <w:sz w:val="24"/>
                <w:szCs w:val="21"/>
              </w:rPr>
              <w:t>听、说</w:t>
            </w:r>
          </w:p>
        </w:tc>
        <w:tc>
          <w:tcPr>
            <w:tcW w:w="2100" w:type="dxa"/>
            <w:tcMar>
              <w:top w:w="0" w:type="dxa"/>
              <w:left w:w="108" w:type="dxa"/>
              <w:bottom w:w="0" w:type="dxa"/>
              <w:right w:w="108" w:type="dxa"/>
            </w:tcMar>
            <w:vAlign w:val="center"/>
          </w:tcPr>
          <w:p>
            <w:pPr>
              <w:snapToGrid w:val="0"/>
              <w:spacing w:line="320" w:lineRule="exact"/>
              <w:jc w:val="center"/>
              <w:rPr>
                <w:kern w:val="0"/>
                <w:sz w:val="18"/>
                <w:szCs w:val="18"/>
              </w:rPr>
            </w:pPr>
            <w:r>
              <w:rPr>
                <w:rFonts w:hint="eastAsia" w:ascii="宋体" w:hAnsi="宋体"/>
                <w:kern w:val="0"/>
                <w:sz w:val="24"/>
                <w:szCs w:val="21"/>
              </w:rPr>
              <w:t>读、译</w:t>
            </w:r>
          </w:p>
        </w:tc>
        <w:tc>
          <w:tcPr>
            <w:tcW w:w="2627" w:type="dxa"/>
            <w:tcMar>
              <w:top w:w="0" w:type="dxa"/>
              <w:left w:w="108" w:type="dxa"/>
              <w:bottom w:w="0" w:type="dxa"/>
              <w:right w:w="108" w:type="dxa"/>
            </w:tcMar>
            <w:vAlign w:val="center"/>
          </w:tcPr>
          <w:p>
            <w:pPr>
              <w:snapToGrid w:val="0"/>
              <w:spacing w:line="320" w:lineRule="exact"/>
              <w:jc w:val="center"/>
              <w:rPr>
                <w:kern w:val="0"/>
                <w:sz w:val="18"/>
                <w:szCs w:val="18"/>
              </w:rPr>
            </w:pPr>
            <w:r>
              <w:rPr>
                <w:rFonts w:hint="eastAsia" w:ascii="宋体" w:hAnsi="宋体"/>
                <w:kern w:val="0"/>
                <w:sz w:val="24"/>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jc w:val="center"/>
              <w:rPr>
                <w:kern w:val="0"/>
                <w:sz w:val="18"/>
                <w:szCs w:val="18"/>
              </w:rPr>
            </w:pPr>
            <w:r>
              <w:rPr>
                <w:rFonts w:hint="eastAsia" w:ascii="宋体" w:hAnsi="宋体"/>
                <w:kern w:val="0"/>
                <w:sz w:val="24"/>
                <w:szCs w:val="21"/>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szCs w:val="21"/>
              </w:rPr>
              <w:t>1.课堂交流</w:t>
            </w:r>
          </w:p>
          <w:p>
            <w:pPr>
              <w:snapToGrid w:val="0"/>
              <w:spacing w:line="320" w:lineRule="exact"/>
              <w:ind w:firstLine="240"/>
              <w:jc w:val="left"/>
              <w:rPr>
                <w:kern w:val="0"/>
                <w:sz w:val="18"/>
                <w:szCs w:val="18"/>
              </w:rPr>
            </w:pPr>
            <w:r>
              <w:rPr>
                <w:rFonts w:ascii="宋体" w:hAnsi="宋体"/>
                <w:kern w:val="0"/>
                <w:sz w:val="24"/>
                <w:szCs w:val="21"/>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szCs w:val="21"/>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szCs w:val="21"/>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jc w:val="center"/>
              <w:rPr>
                <w:kern w:val="0"/>
                <w:sz w:val="18"/>
                <w:szCs w:val="18"/>
              </w:rPr>
            </w:pPr>
            <w:r>
              <w:rPr>
                <w:rFonts w:hint="eastAsia" w:ascii="宋体" w:hAnsi="宋体"/>
                <w:kern w:val="0"/>
                <w:sz w:val="24"/>
                <w:szCs w:val="21"/>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szCs w:val="21"/>
              </w:rPr>
              <w:t>1.一般涉外活动</w:t>
            </w:r>
          </w:p>
          <w:p>
            <w:pPr>
              <w:snapToGrid w:val="0"/>
              <w:spacing w:line="320" w:lineRule="exact"/>
              <w:ind w:firstLine="276"/>
              <w:jc w:val="left"/>
              <w:rPr>
                <w:kern w:val="0"/>
                <w:sz w:val="18"/>
                <w:szCs w:val="18"/>
              </w:rPr>
            </w:pPr>
            <w:r>
              <w:rPr>
                <w:rFonts w:ascii="宋体" w:hAnsi="宋体"/>
                <w:kern w:val="0"/>
                <w:sz w:val="24"/>
                <w:szCs w:val="21"/>
              </w:rPr>
              <w:t>1）迎送</w:t>
            </w:r>
          </w:p>
          <w:p>
            <w:pPr>
              <w:snapToGrid w:val="0"/>
              <w:spacing w:line="320" w:lineRule="exact"/>
              <w:ind w:firstLine="276"/>
              <w:jc w:val="left"/>
              <w:rPr>
                <w:kern w:val="0"/>
                <w:sz w:val="18"/>
                <w:szCs w:val="18"/>
              </w:rPr>
            </w:pPr>
            <w:r>
              <w:rPr>
                <w:rFonts w:ascii="宋体" w:hAnsi="宋体"/>
                <w:kern w:val="0"/>
                <w:sz w:val="24"/>
                <w:szCs w:val="21"/>
              </w:rPr>
              <w:t>2）安排日程与活动</w:t>
            </w:r>
          </w:p>
          <w:p>
            <w:pPr>
              <w:snapToGrid w:val="0"/>
              <w:spacing w:line="320" w:lineRule="exact"/>
              <w:ind w:firstLine="276"/>
              <w:jc w:val="left"/>
              <w:rPr>
                <w:kern w:val="0"/>
                <w:sz w:val="18"/>
                <w:szCs w:val="18"/>
              </w:rPr>
            </w:pPr>
            <w:r>
              <w:rPr>
                <w:rFonts w:ascii="宋体" w:hAnsi="宋体"/>
                <w:kern w:val="0"/>
                <w:sz w:val="24"/>
                <w:szCs w:val="21"/>
              </w:rPr>
              <w:t>3）安排住宿</w:t>
            </w:r>
          </w:p>
          <w:p>
            <w:pPr>
              <w:snapToGrid w:val="0"/>
              <w:spacing w:line="320" w:lineRule="exact"/>
              <w:ind w:firstLine="276"/>
              <w:jc w:val="left"/>
              <w:rPr>
                <w:kern w:val="0"/>
                <w:sz w:val="18"/>
                <w:szCs w:val="18"/>
              </w:rPr>
            </w:pPr>
            <w:r>
              <w:rPr>
                <w:rFonts w:ascii="宋体" w:hAnsi="宋体"/>
                <w:kern w:val="0"/>
                <w:sz w:val="24"/>
                <w:szCs w:val="21"/>
              </w:rPr>
              <w:t>4）宴请与迎送会</w:t>
            </w:r>
          </w:p>
          <w:p>
            <w:pPr>
              <w:snapToGrid w:val="0"/>
              <w:spacing w:line="320" w:lineRule="exact"/>
              <w:ind w:firstLine="276"/>
              <w:jc w:val="left"/>
              <w:rPr>
                <w:kern w:val="0"/>
                <w:sz w:val="18"/>
                <w:szCs w:val="18"/>
              </w:rPr>
            </w:pPr>
            <w:r>
              <w:rPr>
                <w:rFonts w:ascii="宋体" w:hAnsi="宋体"/>
                <w:kern w:val="0"/>
                <w:sz w:val="24"/>
                <w:szCs w:val="21"/>
              </w:rPr>
              <w:t>5）陪同购物、游览、就诊等</w:t>
            </w:r>
          </w:p>
          <w:p>
            <w:pPr>
              <w:snapToGrid w:val="0"/>
              <w:spacing w:line="320" w:lineRule="exact"/>
              <w:ind w:firstLine="240"/>
              <w:jc w:val="left"/>
              <w:rPr>
                <w:kern w:val="0"/>
                <w:sz w:val="18"/>
                <w:szCs w:val="18"/>
              </w:rPr>
            </w:pPr>
            <w:r>
              <w:rPr>
                <w:rFonts w:ascii="宋体" w:hAnsi="宋体"/>
                <w:kern w:val="0"/>
                <w:sz w:val="24"/>
                <w:szCs w:val="21"/>
              </w:rPr>
              <w:t>2.一般涉外业务</w:t>
            </w:r>
          </w:p>
          <w:p>
            <w:pPr>
              <w:snapToGrid w:val="0"/>
              <w:spacing w:line="320" w:lineRule="exact"/>
              <w:ind w:firstLine="276"/>
              <w:jc w:val="left"/>
              <w:rPr>
                <w:kern w:val="0"/>
                <w:sz w:val="18"/>
                <w:szCs w:val="18"/>
              </w:rPr>
            </w:pPr>
            <w:r>
              <w:rPr>
                <w:rFonts w:ascii="宋体" w:hAnsi="宋体"/>
                <w:kern w:val="0"/>
                <w:sz w:val="24"/>
                <w:szCs w:val="21"/>
              </w:rPr>
              <w:t>1）面试</w:t>
            </w:r>
          </w:p>
          <w:p>
            <w:pPr>
              <w:snapToGrid w:val="0"/>
              <w:spacing w:line="320" w:lineRule="exact"/>
              <w:ind w:firstLine="276"/>
              <w:jc w:val="left"/>
              <w:rPr>
                <w:kern w:val="0"/>
                <w:sz w:val="18"/>
                <w:szCs w:val="18"/>
              </w:rPr>
            </w:pPr>
            <w:r>
              <w:rPr>
                <w:rFonts w:ascii="宋体" w:hAnsi="宋体"/>
                <w:kern w:val="0"/>
                <w:sz w:val="24"/>
                <w:szCs w:val="21"/>
              </w:rPr>
              <w:t>2）介绍公司/工厂：历史、现状</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3）介绍产品：类型、性能、规格、市场等</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szCs w:val="21"/>
              </w:rPr>
              <w:t>1.业务信函、传真、电子邮件</w:t>
            </w:r>
          </w:p>
          <w:p>
            <w:pPr>
              <w:snapToGrid w:val="0"/>
              <w:spacing w:line="320" w:lineRule="exact"/>
              <w:ind w:firstLine="240"/>
              <w:jc w:val="center"/>
              <w:rPr>
                <w:kern w:val="0"/>
                <w:sz w:val="18"/>
                <w:szCs w:val="18"/>
              </w:rPr>
            </w:pPr>
            <w:r>
              <w:rPr>
                <w:rFonts w:ascii="宋体" w:hAnsi="宋体"/>
                <w:kern w:val="0"/>
                <w:sz w:val="18"/>
                <w:szCs w:val="18"/>
              </w:rPr>
              <w:t>2.广告</w:t>
            </w:r>
          </w:p>
          <w:p>
            <w:pPr>
              <w:snapToGrid w:val="0"/>
              <w:spacing w:line="320" w:lineRule="exact"/>
              <w:ind w:firstLine="240"/>
              <w:jc w:val="center"/>
              <w:rPr>
                <w:kern w:val="0"/>
                <w:sz w:val="18"/>
                <w:szCs w:val="18"/>
              </w:rPr>
            </w:pPr>
            <w:r>
              <w:rPr>
                <w:rFonts w:ascii="宋体" w:hAnsi="宋体"/>
                <w:kern w:val="0"/>
                <w:sz w:val="18"/>
                <w:szCs w:val="18"/>
              </w:rPr>
              <w:t>3.产品与厂家介绍</w:t>
            </w:r>
          </w:p>
          <w:p>
            <w:pPr>
              <w:snapToGrid w:val="0"/>
              <w:spacing w:line="320" w:lineRule="exact"/>
              <w:ind w:firstLine="240"/>
              <w:jc w:val="center"/>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5.本专业书籍的前言、序言和正文节选</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6.科技文摘</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7.技术专利</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8.招、投标书</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szCs w:val="21"/>
              </w:rPr>
              <w:t>1.表格填写</w:t>
            </w:r>
          </w:p>
          <w:p>
            <w:pPr>
              <w:snapToGrid w:val="0"/>
              <w:spacing w:line="320" w:lineRule="exact"/>
              <w:ind w:firstLine="343"/>
              <w:jc w:val="left"/>
              <w:rPr>
                <w:kern w:val="0"/>
                <w:sz w:val="18"/>
                <w:szCs w:val="18"/>
              </w:rPr>
            </w:pPr>
            <w:r>
              <w:rPr>
                <w:rFonts w:ascii="宋体" w:hAnsi="宋体"/>
                <w:kern w:val="0"/>
                <w:sz w:val="24"/>
                <w:szCs w:val="21"/>
              </w:rPr>
              <w:t>1）个人资料表单</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2）业务表单</w:t>
            </w:r>
          </w:p>
          <w:p>
            <w:pPr>
              <w:snapToGrid w:val="0"/>
              <w:spacing w:line="320" w:lineRule="exact"/>
              <w:ind w:firstLine="240"/>
              <w:jc w:val="left"/>
              <w:rPr>
                <w:kern w:val="0"/>
                <w:sz w:val="18"/>
                <w:szCs w:val="18"/>
              </w:rPr>
            </w:pPr>
            <w:r>
              <w:rPr>
                <w:rFonts w:ascii="宋体" w:hAnsi="宋体"/>
                <w:kern w:val="0"/>
                <w:sz w:val="24"/>
                <w:szCs w:val="21"/>
              </w:rPr>
              <w:t>2.模拟套写</w:t>
            </w:r>
          </w:p>
          <w:p>
            <w:pPr>
              <w:snapToGrid w:val="0"/>
              <w:spacing w:line="320" w:lineRule="exact"/>
              <w:ind w:firstLine="341"/>
              <w:jc w:val="left"/>
              <w:rPr>
                <w:kern w:val="0"/>
                <w:sz w:val="18"/>
                <w:szCs w:val="18"/>
              </w:rPr>
            </w:pPr>
            <w:r>
              <w:rPr>
                <w:rFonts w:ascii="宋体" w:hAnsi="宋体"/>
                <w:kern w:val="0"/>
                <w:sz w:val="24"/>
                <w:szCs w:val="21"/>
              </w:rPr>
              <w:t>1）名片、贺卡、通知等</w:t>
            </w:r>
          </w:p>
          <w:p>
            <w:pPr>
              <w:snapToGrid w:val="0"/>
              <w:spacing w:line="320" w:lineRule="exact"/>
              <w:ind w:firstLine="341"/>
              <w:jc w:val="left"/>
              <w:rPr>
                <w:kern w:val="0"/>
                <w:sz w:val="18"/>
                <w:szCs w:val="18"/>
              </w:rPr>
            </w:pPr>
            <w:r>
              <w:rPr>
                <w:rFonts w:ascii="宋体" w:hAnsi="宋体"/>
                <w:kern w:val="0"/>
                <w:sz w:val="24"/>
                <w:szCs w:val="21"/>
              </w:rPr>
              <w:t>2）便条、邀请函及回函</w:t>
            </w:r>
          </w:p>
          <w:p>
            <w:pPr>
              <w:snapToGrid w:val="0"/>
              <w:spacing w:line="320" w:lineRule="exact"/>
              <w:ind w:firstLine="341"/>
              <w:jc w:val="left"/>
              <w:rPr>
                <w:kern w:val="0"/>
                <w:sz w:val="18"/>
                <w:szCs w:val="18"/>
              </w:rPr>
            </w:pPr>
            <w:r>
              <w:rPr>
                <w:rFonts w:ascii="宋体" w:hAnsi="宋体"/>
                <w:kern w:val="0"/>
                <w:sz w:val="24"/>
                <w:szCs w:val="21"/>
              </w:rPr>
              <w:t>3）个人简历</w:t>
            </w:r>
          </w:p>
          <w:p>
            <w:pPr>
              <w:snapToGrid w:val="0"/>
              <w:spacing w:line="320" w:lineRule="exact"/>
              <w:ind w:firstLine="341"/>
              <w:jc w:val="left"/>
              <w:rPr>
                <w:kern w:val="0"/>
                <w:sz w:val="18"/>
                <w:szCs w:val="18"/>
              </w:rPr>
            </w:pPr>
            <w:r>
              <w:rPr>
                <w:rFonts w:ascii="宋体" w:hAnsi="宋体"/>
                <w:kern w:val="0"/>
                <w:sz w:val="24"/>
                <w:szCs w:val="21"/>
              </w:rPr>
              <w:t>4）简短私人信函</w:t>
            </w:r>
          </w:p>
          <w:p>
            <w:pPr>
              <w:snapToGrid w:val="0"/>
              <w:spacing w:line="320" w:lineRule="exact"/>
              <w:ind w:hanging="1"/>
              <w:jc w:val="left"/>
              <w:rPr>
                <w:kern w:val="0"/>
                <w:sz w:val="18"/>
                <w:szCs w:val="18"/>
              </w:rPr>
            </w:pPr>
            <w:r>
              <w:rPr>
                <w:rFonts w:hint="eastAsia" w:ascii="宋体" w:hAnsi="宋体"/>
                <w:kern w:val="0"/>
                <w:sz w:val="24"/>
                <w:szCs w:val="21"/>
              </w:rPr>
              <w:t>*</w:t>
            </w:r>
            <w:r>
              <w:rPr>
                <w:rFonts w:ascii="宋体" w:hAnsi="宋体"/>
                <w:kern w:val="0"/>
                <w:sz w:val="24"/>
                <w:szCs w:val="21"/>
              </w:rPr>
              <w:t>5）简短业务信函</w:t>
            </w:r>
          </w:p>
          <w:p>
            <w:pPr>
              <w:snapToGrid w:val="0"/>
              <w:spacing w:line="320" w:lineRule="exact"/>
              <w:ind w:hanging="1"/>
              <w:jc w:val="left"/>
              <w:rPr>
                <w:kern w:val="0"/>
                <w:sz w:val="18"/>
                <w:szCs w:val="18"/>
              </w:rPr>
            </w:pPr>
            <w:r>
              <w:rPr>
                <w:rFonts w:hint="eastAsia" w:ascii="宋体" w:hAnsi="宋体"/>
                <w:kern w:val="0"/>
                <w:sz w:val="24"/>
                <w:szCs w:val="21"/>
              </w:rPr>
              <w:t>*</w:t>
            </w:r>
            <w:r>
              <w:rPr>
                <w:rFonts w:ascii="宋体" w:hAnsi="宋体"/>
                <w:kern w:val="0"/>
                <w:sz w:val="24"/>
                <w:szCs w:val="21"/>
              </w:rPr>
              <w:t>6）简短传真和电子邮件</w:t>
            </w:r>
          </w:p>
          <w:p>
            <w:pPr>
              <w:snapToGrid w:val="0"/>
              <w:spacing w:line="320" w:lineRule="exact"/>
              <w:ind w:hanging="1"/>
              <w:jc w:val="left"/>
              <w:rPr>
                <w:kern w:val="0"/>
                <w:sz w:val="18"/>
                <w:szCs w:val="18"/>
              </w:rPr>
            </w:pPr>
            <w:r>
              <w:rPr>
                <w:rFonts w:hint="eastAsia" w:ascii="宋体" w:hAnsi="宋体"/>
                <w:kern w:val="0"/>
                <w:sz w:val="24"/>
                <w:szCs w:val="21"/>
              </w:rPr>
              <w:t>*</w:t>
            </w:r>
            <w:r>
              <w:rPr>
                <w:rFonts w:ascii="宋体" w:hAnsi="宋体"/>
                <w:kern w:val="0"/>
                <w:sz w:val="24"/>
                <w:szCs w:val="21"/>
              </w:rPr>
              <w:t>7）简短广告</w:t>
            </w:r>
          </w:p>
          <w:p>
            <w:pPr>
              <w:snapToGrid w:val="0"/>
              <w:spacing w:line="320" w:lineRule="exact"/>
              <w:ind w:hanging="1"/>
              <w:jc w:val="left"/>
              <w:rPr>
                <w:kern w:val="0"/>
                <w:sz w:val="18"/>
                <w:szCs w:val="18"/>
              </w:rPr>
            </w:pPr>
            <w:r>
              <w:rPr>
                <w:rFonts w:hint="eastAsia" w:ascii="宋体" w:hAnsi="宋体"/>
                <w:kern w:val="0"/>
                <w:sz w:val="24"/>
                <w:szCs w:val="21"/>
              </w:rPr>
              <w:t>*</w:t>
            </w:r>
            <w:r>
              <w:rPr>
                <w:rFonts w:ascii="宋体" w:hAnsi="宋体"/>
                <w:kern w:val="0"/>
                <w:sz w:val="24"/>
                <w:szCs w:val="21"/>
              </w:rPr>
              <w:t>8）简短产品与厂家介绍</w:t>
            </w:r>
          </w:p>
          <w:p>
            <w:pPr>
              <w:snapToGrid w:val="0"/>
              <w:spacing w:line="320" w:lineRule="exact"/>
              <w:jc w:val="left"/>
              <w:rPr>
                <w:kern w:val="0"/>
                <w:sz w:val="18"/>
                <w:szCs w:val="18"/>
              </w:rPr>
            </w:pPr>
            <w:r>
              <w:rPr>
                <w:rFonts w:hint="eastAsia" w:ascii="宋体" w:hAnsi="宋体"/>
                <w:kern w:val="0"/>
                <w:sz w:val="24"/>
                <w:szCs w:val="21"/>
              </w:rPr>
              <w:t>*</w:t>
            </w:r>
            <w:r>
              <w:rPr>
                <w:rFonts w:ascii="宋体" w:hAnsi="宋体"/>
                <w:kern w:val="0"/>
                <w:sz w:val="24"/>
                <w:szCs w:val="21"/>
              </w:rPr>
              <w:t>9）简短产品维护及使用说明</w:t>
            </w:r>
          </w:p>
          <w:p>
            <w:pPr>
              <w:snapToGrid w:val="0"/>
              <w:spacing w:line="320" w:lineRule="exact"/>
              <w:ind w:hanging="1"/>
              <w:jc w:val="left"/>
              <w:rPr>
                <w:kern w:val="0"/>
                <w:sz w:val="18"/>
                <w:szCs w:val="18"/>
              </w:rPr>
            </w:pPr>
            <w:r>
              <w:rPr>
                <w:rFonts w:hint="eastAsia" w:ascii="宋体" w:hAnsi="宋体"/>
                <w:kern w:val="0"/>
                <w:sz w:val="24"/>
                <w:szCs w:val="21"/>
              </w:rPr>
              <w:t>*</w:t>
            </w:r>
            <w:r>
              <w:rPr>
                <w:rFonts w:ascii="宋体" w:hAnsi="宋体"/>
                <w:kern w:val="0"/>
                <w:sz w:val="24"/>
                <w:szCs w:val="21"/>
              </w:rPr>
              <w:t>10）合同</w:t>
            </w:r>
          </w:p>
        </w:tc>
      </w:tr>
    </w:tbl>
    <w:p>
      <w:pPr>
        <w:snapToGrid w:val="0"/>
        <w:spacing w:line="560" w:lineRule="exact"/>
        <w:jc w:val="left"/>
        <w:rPr>
          <w:rFonts w:ascii="黑体" w:eastAsia="黑体"/>
          <w:kern w:val="0"/>
          <w:sz w:val="28"/>
          <w:szCs w:val="28"/>
        </w:rPr>
      </w:pPr>
    </w:p>
    <w:p>
      <w:pPr>
        <w:snapToGrid w:val="0"/>
        <w:spacing w:line="480" w:lineRule="exact"/>
        <w:jc w:val="left"/>
        <w:rPr>
          <w:rFonts w:ascii="黑体" w:eastAsia="黑体"/>
          <w:kern w:val="0"/>
          <w:sz w:val="28"/>
          <w:szCs w:val="28"/>
        </w:rPr>
      </w:pPr>
    </w:p>
    <w:p>
      <w:pPr>
        <w:snapToGrid w:val="0"/>
        <w:spacing w:line="480" w:lineRule="exact"/>
        <w:jc w:val="left"/>
        <w:rPr>
          <w:rFonts w:ascii="黑体" w:eastAsia="黑体"/>
          <w:kern w:val="0"/>
          <w:sz w:val="28"/>
          <w:szCs w:val="28"/>
        </w:rPr>
      </w:pPr>
    </w:p>
    <w:p>
      <w:pPr>
        <w:snapToGrid w:val="0"/>
        <w:spacing w:line="480" w:lineRule="exact"/>
        <w:jc w:val="left"/>
        <w:rPr>
          <w:kern w:val="0"/>
          <w:szCs w:val="21"/>
        </w:rPr>
      </w:pPr>
      <w:r>
        <w:rPr>
          <w:rFonts w:hint="eastAsia" w:ascii="黑体" w:eastAsia="黑体"/>
          <w:kern w:val="0"/>
          <w:sz w:val="28"/>
          <w:szCs w:val="28"/>
        </w:rPr>
        <w:t>附表二</w:t>
      </w:r>
    </w:p>
    <w:p>
      <w:pPr>
        <w:snapToGrid w:val="0"/>
        <w:spacing w:line="480" w:lineRule="exact"/>
        <w:jc w:val="center"/>
        <w:rPr>
          <w:rFonts w:ascii="黑体" w:eastAsia="黑体"/>
          <w:kern w:val="0"/>
          <w:sz w:val="30"/>
          <w:szCs w:val="30"/>
        </w:rPr>
      </w:pPr>
      <w:r>
        <w:rPr>
          <w:rFonts w:hint="eastAsia" w:ascii="黑体" w:eastAsia="黑体"/>
          <w:kern w:val="0"/>
          <w:sz w:val="30"/>
          <w:szCs w:val="30"/>
        </w:rPr>
        <w:t>语言技能表</w:t>
      </w:r>
    </w:p>
    <w:p>
      <w:pPr>
        <w:snapToGrid w:val="0"/>
        <w:spacing w:line="480" w:lineRule="exact"/>
        <w:jc w:val="center"/>
        <w:rPr>
          <w:kern w:val="0"/>
          <w:szCs w:val="21"/>
        </w:rPr>
      </w:pPr>
    </w:p>
    <w:p>
      <w:pPr>
        <w:snapToGrid w:val="0"/>
        <w:spacing w:line="520" w:lineRule="exact"/>
        <w:ind w:firstLine="480" w:firstLineChars="200"/>
        <w:jc w:val="left"/>
        <w:rPr>
          <w:kern w:val="0"/>
          <w:szCs w:val="21"/>
        </w:rPr>
      </w:pPr>
      <w:r>
        <w:rPr>
          <w:rFonts w:hint="eastAsia" w:ascii="宋体" w:hAnsi="宋体"/>
          <w:kern w:val="0"/>
          <w:sz w:val="24"/>
          <w:szCs w:val="21"/>
        </w:rPr>
        <w:t>一、本表列出英语课程教学中学生应在语言技能方面达到的基本要求。</w:t>
      </w:r>
    </w:p>
    <w:p>
      <w:pPr>
        <w:snapToGrid w:val="0"/>
        <w:spacing w:line="520" w:lineRule="exact"/>
        <w:ind w:firstLine="480"/>
        <w:jc w:val="left"/>
        <w:rPr>
          <w:kern w:val="0"/>
          <w:szCs w:val="21"/>
        </w:rPr>
      </w:pPr>
      <w:r>
        <w:rPr>
          <w:rFonts w:ascii="宋体" w:hAnsi="宋体"/>
          <w:kern w:val="0"/>
          <w:sz w:val="24"/>
          <w:szCs w:val="21"/>
        </w:rPr>
        <w:t>二、本表列出的语言技能要求较为概括，在教材编写和实际教学中应对相关的语言技能进行必要的拓展和灵活处理。</w:t>
      </w:r>
    </w:p>
    <w:p>
      <w:pPr>
        <w:snapToGrid w:val="0"/>
        <w:spacing w:line="520" w:lineRule="exact"/>
        <w:ind w:firstLine="478"/>
        <w:jc w:val="left"/>
        <w:rPr>
          <w:kern w:val="0"/>
          <w:szCs w:val="21"/>
        </w:rPr>
      </w:pPr>
      <w:r>
        <w:rPr>
          <w:rFonts w:ascii="宋体" w:hAnsi="宋体"/>
          <w:kern w:val="0"/>
          <w:sz w:val="24"/>
          <w:szCs w:val="21"/>
        </w:rPr>
        <w:t>1.听的技能</w:t>
      </w:r>
    </w:p>
    <w:p>
      <w:pPr>
        <w:snapToGrid w:val="0"/>
        <w:spacing w:line="520" w:lineRule="exact"/>
        <w:ind w:firstLine="720"/>
        <w:jc w:val="left"/>
        <w:rPr>
          <w:kern w:val="0"/>
          <w:szCs w:val="21"/>
        </w:rPr>
      </w:pPr>
      <w:r>
        <w:rPr>
          <w:rFonts w:ascii="宋体" w:hAnsi="宋体"/>
          <w:kern w:val="0"/>
          <w:sz w:val="24"/>
          <w:szCs w:val="21"/>
        </w:rPr>
        <w:t>1）理解所听材料的主旨或要点</w:t>
      </w:r>
    </w:p>
    <w:p>
      <w:pPr>
        <w:snapToGrid w:val="0"/>
        <w:spacing w:line="520" w:lineRule="exact"/>
        <w:ind w:firstLine="720"/>
        <w:jc w:val="left"/>
        <w:rPr>
          <w:kern w:val="0"/>
          <w:szCs w:val="21"/>
        </w:rPr>
      </w:pPr>
      <w:r>
        <w:rPr>
          <w:rFonts w:ascii="宋体" w:hAnsi="宋体"/>
          <w:kern w:val="0"/>
          <w:sz w:val="24"/>
          <w:szCs w:val="21"/>
        </w:rPr>
        <w:t>2）理解具体信息</w:t>
      </w:r>
    </w:p>
    <w:p>
      <w:pPr>
        <w:snapToGrid w:val="0"/>
        <w:spacing w:line="520" w:lineRule="exact"/>
        <w:ind w:firstLine="720"/>
        <w:jc w:val="left"/>
        <w:rPr>
          <w:kern w:val="0"/>
          <w:szCs w:val="21"/>
        </w:rPr>
      </w:pPr>
      <w:r>
        <w:rPr>
          <w:rFonts w:ascii="宋体" w:hAnsi="宋体"/>
          <w:kern w:val="0"/>
          <w:sz w:val="24"/>
          <w:szCs w:val="21"/>
        </w:rPr>
        <w:t>3）理解所听材料的背景、说话人之间的关系等</w:t>
      </w:r>
    </w:p>
    <w:p>
      <w:pPr>
        <w:snapToGrid w:val="0"/>
        <w:spacing w:line="520" w:lineRule="exact"/>
        <w:ind w:firstLine="720"/>
        <w:jc w:val="left"/>
        <w:rPr>
          <w:kern w:val="0"/>
          <w:szCs w:val="21"/>
        </w:rPr>
      </w:pPr>
      <w:r>
        <w:rPr>
          <w:rFonts w:ascii="宋体" w:hAnsi="宋体"/>
          <w:kern w:val="0"/>
          <w:sz w:val="24"/>
          <w:szCs w:val="21"/>
        </w:rPr>
        <w:t>4）推断所听材料的含义</w:t>
      </w:r>
    </w:p>
    <w:p>
      <w:pPr>
        <w:snapToGrid w:val="0"/>
        <w:spacing w:line="520" w:lineRule="exact"/>
        <w:ind w:firstLine="478"/>
        <w:jc w:val="left"/>
        <w:rPr>
          <w:kern w:val="0"/>
          <w:szCs w:val="21"/>
        </w:rPr>
      </w:pPr>
      <w:r>
        <w:rPr>
          <w:rFonts w:ascii="宋体" w:hAnsi="宋体"/>
          <w:kern w:val="0"/>
          <w:sz w:val="24"/>
          <w:szCs w:val="21"/>
        </w:rPr>
        <w:t>2.说的技能</w:t>
      </w:r>
    </w:p>
    <w:p>
      <w:pPr>
        <w:snapToGrid w:val="0"/>
        <w:spacing w:line="520" w:lineRule="exact"/>
        <w:ind w:firstLine="720"/>
        <w:jc w:val="left"/>
        <w:rPr>
          <w:kern w:val="0"/>
          <w:szCs w:val="21"/>
        </w:rPr>
      </w:pPr>
      <w:r>
        <w:rPr>
          <w:rFonts w:ascii="宋体" w:hAnsi="宋体"/>
          <w:kern w:val="0"/>
          <w:sz w:val="24"/>
          <w:szCs w:val="21"/>
        </w:rPr>
        <w:t>1）模拟或套用常用口头交际句型，就日常生活和有关业务提出问题和简短回答</w:t>
      </w:r>
    </w:p>
    <w:p>
      <w:pPr>
        <w:snapToGrid w:val="0"/>
        <w:spacing w:line="520" w:lineRule="exact"/>
        <w:ind w:firstLine="720"/>
        <w:jc w:val="left"/>
        <w:rPr>
          <w:kern w:val="0"/>
          <w:szCs w:val="21"/>
        </w:rPr>
      </w:pPr>
      <w:r>
        <w:rPr>
          <w:rFonts w:ascii="宋体" w:hAnsi="宋体"/>
          <w:kern w:val="0"/>
          <w:sz w:val="24"/>
          <w:szCs w:val="21"/>
        </w:rPr>
        <w:t>2）交流有困难时能采取简单的应变措施</w:t>
      </w:r>
    </w:p>
    <w:p>
      <w:pPr>
        <w:snapToGrid w:val="0"/>
        <w:spacing w:line="520" w:lineRule="exact"/>
        <w:ind w:firstLine="478"/>
        <w:jc w:val="left"/>
        <w:rPr>
          <w:kern w:val="0"/>
          <w:szCs w:val="21"/>
        </w:rPr>
      </w:pPr>
      <w:r>
        <w:rPr>
          <w:rFonts w:ascii="宋体" w:hAnsi="宋体"/>
          <w:kern w:val="0"/>
          <w:sz w:val="24"/>
          <w:szCs w:val="21"/>
        </w:rPr>
        <w:t>3.阅读技能</w:t>
      </w:r>
    </w:p>
    <w:p>
      <w:pPr>
        <w:snapToGrid w:val="0"/>
        <w:spacing w:line="520" w:lineRule="exact"/>
        <w:ind w:firstLine="720"/>
        <w:jc w:val="left"/>
        <w:rPr>
          <w:kern w:val="0"/>
          <w:szCs w:val="21"/>
        </w:rPr>
      </w:pPr>
      <w:r>
        <w:rPr>
          <w:rFonts w:ascii="宋体" w:hAnsi="宋体"/>
          <w:kern w:val="0"/>
          <w:sz w:val="24"/>
          <w:szCs w:val="21"/>
        </w:rPr>
        <w:t>1）理解文章的主旨或要点</w:t>
      </w:r>
    </w:p>
    <w:p>
      <w:pPr>
        <w:snapToGrid w:val="0"/>
        <w:spacing w:line="520" w:lineRule="exact"/>
        <w:ind w:firstLine="720"/>
        <w:jc w:val="left"/>
        <w:rPr>
          <w:kern w:val="0"/>
          <w:szCs w:val="21"/>
        </w:rPr>
      </w:pPr>
      <w:r>
        <w:rPr>
          <w:rFonts w:ascii="宋体" w:hAnsi="宋体"/>
          <w:kern w:val="0"/>
          <w:sz w:val="24"/>
          <w:szCs w:val="21"/>
        </w:rPr>
        <w:t>2）理解文章中的具体信息</w:t>
      </w:r>
    </w:p>
    <w:p>
      <w:pPr>
        <w:snapToGrid w:val="0"/>
        <w:spacing w:line="520" w:lineRule="exact"/>
        <w:ind w:firstLine="720"/>
        <w:jc w:val="left"/>
        <w:rPr>
          <w:kern w:val="0"/>
          <w:szCs w:val="21"/>
        </w:rPr>
      </w:pPr>
      <w:r>
        <w:rPr>
          <w:rFonts w:ascii="宋体" w:hAnsi="宋体"/>
          <w:kern w:val="0"/>
          <w:sz w:val="24"/>
          <w:szCs w:val="21"/>
        </w:rPr>
        <w:t>3）根据上下文推断生词意思</w:t>
      </w:r>
    </w:p>
    <w:p>
      <w:pPr>
        <w:snapToGrid w:val="0"/>
        <w:spacing w:line="520" w:lineRule="exact"/>
        <w:ind w:firstLine="720"/>
        <w:jc w:val="left"/>
        <w:rPr>
          <w:kern w:val="0"/>
          <w:szCs w:val="21"/>
        </w:rPr>
      </w:pPr>
      <w:r>
        <w:rPr>
          <w:rFonts w:ascii="宋体" w:hAnsi="宋体"/>
          <w:kern w:val="0"/>
          <w:sz w:val="24"/>
          <w:szCs w:val="21"/>
        </w:rPr>
        <w:t>4）根据上下文作出简单的判断和推理</w:t>
      </w:r>
    </w:p>
    <w:p>
      <w:pPr>
        <w:snapToGrid w:val="0"/>
        <w:spacing w:line="520" w:lineRule="exact"/>
        <w:ind w:firstLine="720"/>
        <w:jc w:val="left"/>
        <w:rPr>
          <w:kern w:val="0"/>
          <w:szCs w:val="21"/>
        </w:rPr>
      </w:pPr>
      <w:r>
        <w:rPr>
          <w:rFonts w:ascii="宋体" w:hAnsi="宋体"/>
          <w:kern w:val="0"/>
          <w:sz w:val="24"/>
          <w:szCs w:val="21"/>
        </w:rPr>
        <w:t>5）理解文章的写作意图、作者的见解和态度等</w:t>
      </w:r>
    </w:p>
    <w:p>
      <w:pPr>
        <w:snapToGrid w:val="0"/>
        <w:spacing w:line="520" w:lineRule="exact"/>
        <w:ind w:firstLine="720"/>
        <w:jc w:val="left"/>
        <w:rPr>
          <w:kern w:val="0"/>
          <w:szCs w:val="21"/>
        </w:rPr>
      </w:pPr>
      <w:r>
        <w:rPr>
          <w:rFonts w:ascii="宋体" w:hAnsi="宋体"/>
          <w:kern w:val="0"/>
          <w:sz w:val="24"/>
          <w:szCs w:val="21"/>
        </w:rPr>
        <w:t>6）就文章内容作出结论</w:t>
      </w:r>
    </w:p>
    <w:p>
      <w:pPr>
        <w:snapToGrid w:val="0"/>
        <w:spacing w:line="520" w:lineRule="exact"/>
        <w:ind w:firstLine="720"/>
        <w:jc w:val="left"/>
        <w:rPr>
          <w:kern w:val="0"/>
          <w:szCs w:val="21"/>
        </w:rPr>
      </w:pPr>
      <w:r>
        <w:rPr>
          <w:rFonts w:ascii="宋体" w:hAnsi="宋体"/>
          <w:kern w:val="0"/>
          <w:sz w:val="24"/>
          <w:szCs w:val="21"/>
        </w:rPr>
        <w:t>7）快速查找有关信息</w:t>
      </w:r>
    </w:p>
    <w:p>
      <w:pPr>
        <w:snapToGrid w:val="0"/>
        <w:spacing w:line="520" w:lineRule="exact"/>
        <w:ind w:firstLine="478"/>
        <w:jc w:val="left"/>
        <w:rPr>
          <w:kern w:val="0"/>
          <w:szCs w:val="21"/>
        </w:rPr>
      </w:pPr>
      <w:r>
        <w:rPr>
          <w:rFonts w:ascii="宋体" w:hAnsi="宋体"/>
          <w:kern w:val="0"/>
          <w:sz w:val="24"/>
          <w:szCs w:val="21"/>
        </w:rPr>
        <w:t>4.翻译（英译汉）技能</w:t>
      </w:r>
    </w:p>
    <w:p>
      <w:pPr>
        <w:snapToGrid w:val="0"/>
        <w:spacing w:line="520" w:lineRule="exact"/>
        <w:ind w:firstLine="720"/>
        <w:jc w:val="left"/>
        <w:rPr>
          <w:kern w:val="0"/>
          <w:szCs w:val="21"/>
        </w:rPr>
      </w:pPr>
      <w:r>
        <w:rPr>
          <w:rFonts w:ascii="宋体" w:hAnsi="宋体"/>
          <w:kern w:val="0"/>
          <w:sz w:val="24"/>
          <w:szCs w:val="21"/>
        </w:rPr>
        <w:t>1）正确翻译一般语句，基本符合汉语习惯</w:t>
      </w:r>
    </w:p>
    <w:p>
      <w:pPr>
        <w:snapToGrid w:val="0"/>
        <w:spacing w:line="520" w:lineRule="exact"/>
        <w:ind w:firstLine="720"/>
        <w:jc w:val="left"/>
        <w:rPr>
          <w:kern w:val="0"/>
          <w:szCs w:val="21"/>
        </w:rPr>
      </w:pPr>
      <w:r>
        <w:rPr>
          <w:rFonts w:ascii="宋体" w:hAnsi="宋体"/>
          <w:kern w:val="0"/>
          <w:sz w:val="24"/>
          <w:szCs w:val="21"/>
        </w:rPr>
        <w:t>2）正确掌握被动句式的译法</w:t>
      </w:r>
    </w:p>
    <w:p>
      <w:pPr>
        <w:snapToGrid w:val="0"/>
        <w:spacing w:line="520" w:lineRule="exact"/>
        <w:ind w:firstLine="720"/>
        <w:jc w:val="left"/>
        <w:rPr>
          <w:kern w:val="0"/>
          <w:szCs w:val="21"/>
        </w:rPr>
      </w:pPr>
      <w:r>
        <w:rPr>
          <w:rFonts w:ascii="宋体" w:hAnsi="宋体"/>
          <w:kern w:val="0"/>
          <w:sz w:val="24"/>
          <w:szCs w:val="21"/>
        </w:rPr>
        <w:t>3）正确掌握倍数的译法</w:t>
      </w:r>
    </w:p>
    <w:p>
      <w:pPr>
        <w:snapToGrid w:val="0"/>
        <w:spacing w:line="520" w:lineRule="exact"/>
        <w:ind w:firstLine="720"/>
        <w:jc w:val="left"/>
        <w:rPr>
          <w:kern w:val="0"/>
          <w:szCs w:val="21"/>
        </w:rPr>
      </w:pPr>
      <w:r>
        <w:rPr>
          <w:rFonts w:ascii="宋体" w:hAnsi="宋体"/>
          <w:kern w:val="0"/>
          <w:sz w:val="24"/>
          <w:szCs w:val="21"/>
        </w:rPr>
        <w:t>4）正确掌握定语从句的译法</w:t>
      </w:r>
    </w:p>
    <w:p>
      <w:pPr>
        <w:snapToGrid w:val="0"/>
        <w:spacing w:line="520" w:lineRule="exact"/>
        <w:ind w:firstLine="720"/>
        <w:jc w:val="left"/>
        <w:rPr>
          <w:kern w:val="0"/>
          <w:szCs w:val="21"/>
        </w:rPr>
      </w:pPr>
      <w:r>
        <w:rPr>
          <w:rFonts w:ascii="宋体" w:hAnsi="宋体"/>
          <w:kern w:val="0"/>
          <w:sz w:val="24"/>
          <w:szCs w:val="21"/>
        </w:rPr>
        <w:t>5）正确掌握长句的译法</w:t>
      </w:r>
    </w:p>
    <w:p>
      <w:pPr>
        <w:snapToGrid w:val="0"/>
        <w:spacing w:line="520" w:lineRule="exact"/>
        <w:ind w:firstLine="478"/>
        <w:jc w:val="left"/>
        <w:rPr>
          <w:kern w:val="0"/>
          <w:szCs w:val="21"/>
        </w:rPr>
      </w:pPr>
      <w:r>
        <w:rPr>
          <w:rFonts w:ascii="宋体" w:hAnsi="宋体"/>
          <w:kern w:val="0"/>
          <w:sz w:val="24"/>
          <w:szCs w:val="21"/>
        </w:rPr>
        <w:t>5.写的技能</w:t>
      </w:r>
    </w:p>
    <w:p>
      <w:pPr>
        <w:snapToGrid w:val="0"/>
        <w:spacing w:line="520" w:lineRule="exact"/>
        <w:ind w:firstLine="720"/>
        <w:jc w:val="left"/>
        <w:rPr>
          <w:kern w:val="0"/>
          <w:szCs w:val="21"/>
        </w:rPr>
      </w:pPr>
      <w:r>
        <w:rPr>
          <w:rFonts w:ascii="宋体" w:hAnsi="宋体"/>
          <w:kern w:val="0"/>
          <w:sz w:val="24"/>
          <w:szCs w:val="21"/>
        </w:rPr>
        <w:t>1）正确使用所学的词、词组和句型</w:t>
      </w:r>
    </w:p>
    <w:p>
      <w:pPr>
        <w:snapToGrid w:val="0"/>
        <w:spacing w:line="520" w:lineRule="exact"/>
        <w:ind w:firstLine="720"/>
        <w:jc w:val="left"/>
        <w:rPr>
          <w:kern w:val="0"/>
          <w:szCs w:val="21"/>
        </w:rPr>
      </w:pPr>
      <w:r>
        <w:rPr>
          <w:rFonts w:ascii="宋体" w:hAnsi="宋体"/>
          <w:kern w:val="0"/>
          <w:sz w:val="24"/>
          <w:szCs w:val="21"/>
        </w:rPr>
        <w:t>2）语法及标点使用正确，句子结构完整</w:t>
      </w:r>
    </w:p>
    <w:p>
      <w:pPr>
        <w:snapToGrid w:val="0"/>
        <w:spacing w:line="520" w:lineRule="exact"/>
        <w:ind w:firstLine="720"/>
        <w:jc w:val="left"/>
        <w:rPr>
          <w:kern w:val="0"/>
          <w:szCs w:val="21"/>
        </w:rPr>
      </w:pPr>
      <w:r>
        <w:rPr>
          <w:rFonts w:ascii="宋体" w:hAnsi="宋体"/>
          <w:kern w:val="0"/>
          <w:sz w:val="24"/>
          <w:szCs w:val="21"/>
        </w:rPr>
        <w:t>3）句子意思清楚，符合逻辑顺序</w:t>
      </w:r>
    </w:p>
    <w:p>
      <w:pPr>
        <w:snapToGrid w:val="0"/>
        <w:spacing w:line="520" w:lineRule="exact"/>
        <w:ind w:firstLine="720"/>
        <w:jc w:val="left"/>
        <w:rPr>
          <w:kern w:val="0"/>
          <w:szCs w:val="21"/>
        </w:rPr>
      </w:pPr>
      <w:r>
        <w:rPr>
          <w:rFonts w:ascii="宋体" w:hAnsi="宋体"/>
          <w:kern w:val="0"/>
          <w:sz w:val="24"/>
          <w:szCs w:val="21"/>
        </w:rPr>
        <w:t>4）注意连贯性，正确使用连接手段：如first、second等</w:t>
      </w:r>
    </w:p>
    <w:p>
      <w:pPr>
        <w:snapToGrid w:val="0"/>
        <w:spacing w:line="520" w:lineRule="exact"/>
        <w:ind w:firstLine="720"/>
        <w:jc w:val="left"/>
        <w:rPr>
          <w:kern w:val="0"/>
          <w:szCs w:val="21"/>
        </w:rPr>
      </w:pPr>
      <w:r>
        <w:rPr>
          <w:rFonts w:ascii="宋体" w:hAnsi="宋体"/>
          <w:kern w:val="0"/>
          <w:sz w:val="24"/>
          <w:szCs w:val="21"/>
        </w:rPr>
        <w:t>5）正确套用或使用常见的应用文格式</w:t>
      </w:r>
    </w:p>
    <w:p>
      <w:pPr>
        <w:spacing w:line="540" w:lineRule="exact"/>
        <w:jc w:val="left"/>
        <w:rPr>
          <w:color w:val="000000"/>
          <w:sz w:val="28"/>
          <w:szCs w:val="28"/>
          <w:u w:val="single"/>
        </w:rPr>
      </w:pPr>
    </w:p>
    <w:p>
      <w:pPr>
        <w:widowControl/>
        <w:spacing w:line="560" w:lineRule="exact"/>
        <w:jc w:val="left"/>
        <w:rPr>
          <w:szCs w:val="21"/>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仿宋_GB2312" w:hAnsi="仿宋" w:eastAsia="仿宋_GB2312"/>
          <w:color w:val="000000"/>
          <w:sz w:val="32"/>
          <w:szCs w:val="32"/>
        </w:rPr>
      </w:pPr>
    </w:p>
    <w:p>
      <w:pPr>
        <w:spacing w:line="600" w:lineRule="exact"/>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6</w:t>
      </w:r>
    </w:p>
    <w:p>
      <w:pPr>
        <w:spacing w:line="6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教育部学籍在线验证报告获取步骤</w:t>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学信网的学籍在线验证报告的打印，按以下步骤进行操作，即可完成：</w:t>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第一步，登录学信网的官网，点击链接学信网，进入网站的首页面。</w:t>
      </w:r>
    </w:p>
    <w:p>
      <w:pPr>
        <w:widowControl/>
        <w:shd w:val="clear" w:color="auto" w:fill="FFFFFF"/>
        <w:ind w:right="-483" w:rightChars="-230"/>
        <w:jc w:val="left"/>
        <w:rPr>
          <w:rFonts w:ascii="Arial" w:hAnsi="Arial" w:cs="Arial"/>
          <w:color w:val="333333"/>
          <w:kern w:val="0"/>
          <w:sz w:val="24"/>
          <w:szCs w:val="24"/>
        </w:rPr>
      </w:pPr>
      <w:r>
        <w:rPr>
          <w:rFonts w:ascii="Arial" w:hAnsi="Arial" w:cs="Arial"/>
          <w:color w:val="333333"/>
          <w:kern w:val="0"/>
          <w:sz w:val="24"/>
          <w:szCs w:val="24"/>
        </w:rPr>
        <w:drawing>
          <wp:inline distT="0" distB="0" distL="0" distR="0">
            <wp:extent cx="4752975" cy="2381250"/>
            <wp:effectExtent l="0" t="0" r="9525" b="0"/>
            <wp:docPr id="1026" name="图片 41" descr="https://p.ssl.qhimg.com/t01044c291ea09f3166.jpg"/>
            <wp:cNvGraphicFramePr/>
            <a:graphic xmlns:a="http://schemas.openxmlformats.org/drawingml/2006/main">
              <a:graphicData uri="http://schemas.openxmlformats.org/drawingml/2006/picture">
                <pic:pic xmlns:pic="http://schemas.openxmlformats.org/drawingml/2006/picture">
                  <pic:nvPicPr>
                    <pic:cNvPr id="1026" name="图片 41" descr="https://p.ssl.qhimg.com/t01044c291ea09f3166.jpg"/>
                    <pic:cNvPicPr/>
                  </pic:nvPicPr>
                  <pic:blipFill>
                    <a:blip r:embed="rId4" cstate="print"/>
                    <a:srcRect/>
                    <a:stretch>
                      <a:fillRect/>
                    </a:stretch>
                  </pic:blipFill>
                  <pic:spPr>
                    <a:xfrm>
                      <a:off x="0" y="0"/>
                      <a:ext cx="4752975" cy="2381250"/>
                    </a:xfrm>
                    <a:prstGeom prst="rect">
                      <a:avLst/>
                    </a:prstGeom>
                    <a:ln>
                      <a:noFill/>
                    </a:ln>
                  </pic:spPr>
                </pic:pic>
              </a:graphicData>
            </a:graphic>
          </wp:inline>
        </w:drawing>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第二步，在打开页面的左上方，找到“学籍查询”的按纽，点击进入下级页面。</w:t>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drawing>
          <wp:inline distT="0" distB="0" distL="0" distR="0">
            <wp:extent cx="4772025" cy="2381250"/>
            <wp:effectExtent l="0" t="0" r="9525" b="0"/>
            <wp:docPr id="1027" name="图片 42" descr="https://p.ssl.qhimg.com/t0107c58baceddcd9da.jpg"/>
            <wp:cNvGraphicFramePr/>
            <a:graphic xmlns:a="http://schemas.openxmlformats.org/drawingml/2006/main">
              <a:graphicData uri="http://schemas.openxmlformats.org/drawingml/2006/picture">
                <pic:pic xmlns:pic="http://schemas.openxmlformats.org/drawingml/2006/picture">
                  <pic:nvPicPr>
                    <pic:cNvPr id="1027" name="图片 42" descr="https://p.ssl.qhimg.com/t0107c58baceddcd9da.jpg"/>
                    <pic:cNvPicPr/>
                  </pic:nvPicPr>
                  <pic:blipFill>
                    <a:blip r:embed="rId5" cstate="print"/>
                    <a:srcRect/>
                    <a:stretch>
                      <a:fillRect/>
                    </a:stretch>
                  </pic:blipFill>
                  <pic:spPr>
                    <a:xfrm>
                      <a:off x="0" y="0"/>
                      <a:ext cx="4772025" cy="2381250"/>
                    </a:xfrm>
                    <a:prstGeom prst="rect">
                      <a:avLst/>
                    </a:prstGeom>
                    <a:ln>
                      <a:noFill/>
                    </a:ln>
                  </pic:spPr>
                </pic:pic>
              </a:graphicData>
            </a:graphic>
          </wp:inline>
        </w:drawing>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第三步，在打开页面会显示“登录学信档案”和“注册学信网账号”（没有账号需要注册），有账号直接选择“登录学信档案”的按纽，点击进入下级页面。</w:t>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drawing>
          <wp:inline distT="0" distB="0" distL="0" distR="0">
            <wp:extent cx="4873625" cy="2485390"/>
            <wp:effectExtent l="0" t="0" r="3175" b="10160"/>
            <wp:docPr id="1028" name="图片 43" descr="https://p.ssl.qhimg.com/t01dac30f4bca101590.jpg"/>
            <wp:cNvGraphicFramePr/>
            <a:graphic xmlns:a="http://schemas.openxmlformats.org/drawingml/2006/main">
              <a:graphicData uri="http://schemas.openxmlformats.org/drawingml/2006/picture">
                <pic:pic xmlns:pic="http://schemas.openxmlformats.org/drawingml/2006/picture">
                  <pic:nvPicPr>
                    <pic:cNvPr id="1028" name="图片 43" descr="https://p.ssl.qhimg.com/t01dac30f4bca101590.jpg"/>
                    <pic:cNvPicPr/>
                  </pic:nvPicPr>
                  <pic:blipFill>
                    <a:blip r:embed="rId6" cstate="print"/>
                    <a:srcRect/>
                    <a:stretch>
                      <a:fillRect/>
                    </a:stretch>
                  </pic:blipFill>
                  <pic:spPr>
                    <a:xfrm>
                      <a:off x="0" y="0"/>
                      <a:ext cx="4873625" cy="2485390"/>
                    </a:xfrm>
                    <a:prstGeom prst="rect">
                      <a:avLst/>
                    </a:prstGeom>
                    <a:ln>
                      <a:noFill/>
                    </a:ln>
                  </pic:spPr>
                </pic:pic>
              </a:graphicData>
            </a:graphic>
          </wp:inline>
        </w:drawing>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第四步，在打开页面录入学信网的账号信息，包括用户名和密码，然后点击“登录”进入下级页面。</w:t>
      </w:r>
    </w:p>
    <w:p>
      <w:pPr>
        <w:widowControl/>
        <w:shd w:val="clear" w:color="auto" w:fill="FFFFFF"/>
        <w:jc w:val="left"/>
        <w:rPr>
          <w:rFonts w:ascii="Arial" w:hAnsi="Arial" w:cs="Arial"/>
          <w:color w:val="333333"/>
          <w:kern w:val="0"/>
          <w:sz w:val="24"/>
          <w:szCs w:val="24"/>
        </w:rPr>
      </w:pPr>
      <w:r>
        <w:rPr>
          <w:rFonts w:hint="eastAsia" w:ascii="Arial" w:hAnsi="Arial" w:cs="Arial"/>
          <w:color w:val="333333"/>
          <w:kern w:val="0"/>
          <w:sz w:val="24"/>
          <w:szCs w:val="24"/>
        </w:rPr>
        <w:drawing>
          <wp:anchor distT="0" distB="0" distL="0" distR="0" simplePos="0" relativeHeight="251659264" behindDoc="0" locked="0" layoutInCell="1" allowOverlap="1">
            <wp:simplePos x="0" y="0"/>
            <wp:positionH relativeFrom="column">
              <wp:posOffset>79375</wp:posOffset>
            </wp:positionH>
            <wp:positionV relativeFrom="paragraph">
              <wp:posOffset>114300</wp:posOffset>
            </wp:positionV>
            <wp:extent cx="4817745" cy="2511425"/>
            <wp:effectExtent l="44450" t="44450" r="109855" b="111125"/>
            <wp:wrapNone/>
            <wp:docPr id="1029" name="图片 1"/>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r:embed="rId7" cstate="print"/>
                    <a:srcRect/>
                    <a:stretch>
                      <a:fillRect/>
                    </a:stretch>
                  </pic:blipFill>
                  <pic:spPr>
                    <a:xfrm>
                      <a:off x="0" y="0"/>
                      <a:ext cx="4817745" cy="2511425"/>
                    </a:xfrm>
                    <a:prstGeom prst="rect">
                      <a:avLst/>
                    </a:prstGeom>
                    <a:ln w="28575" cap="sq" cmpd="sng">
                      <a:solidFill>
                        <a:srgbClr val="000000"/>
                      </a:solidFill>
                      <a:prstDash val="solid"/>
                      <a:miter/>
                    </a:ln>
                    <a:effectLst>
                      <a:outerShdw blurRad="50800" dist="38100" dir="2700000" algn="tl" rotWithShape="0">
                        <a:srgbClr val="000000">
                          <a:alpha val="43000"/>
                        </a:srgbClr>
                      </a:outerShdw>
                    </a:effectLst>
                  </pic:spPr>
                </pic:pic>
              </a:graphicData>
            </a:graphic>
          </wp:anchor>
        </w:drawing>
      </w: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第五步，在打开页面可看到，“在线验证报告”下方有“查看”和“申请”两个选项，没有申请的需要点击“申请”的按纽，已经申请过的点击“查看”的按纽，此处点击“查看”进入下级页面。</w:t>
      </w:r>
    </w:p>
    <w:p>
      <w:pPr>
        <w:widowControl/>
        <w:shd w:val="clear" w:color="auto" w:fill="FFFFFF"/>
        <w:jc w:val="left"/>
        <w:rPr>
          <w:rFonts w:ascii="Arial" w:hAnsi="Arial" w:cs="Arial"/>
          <w:color w:val="333333"/>
          <w:kern w:val="0"/>
          <w:sz w:val="24"/>
          <w:szCs w:val="24"/>
        </w:rPr>
      </w:pPr>
      <w:r>
        <w:rPr>
          <w:rFonts w:hint="eastAsia" w:ascii="Arial" w:hAnsi="Arial" w:cs="Arial"/>
          <w:color w:val="333333"/>
          <w:kern w:val="0"/>
          <w:sz w:val="24"/>
          <w:szCs w:val="24"/>
        </w:rPr>
        <w:drawing>
          <wp:anchor distT="0" distB="0" distL="0" distR="0" simplePos="0" relativeHeight="251659264" behindDoc="0" locked="0" layoutInCell="1" allowOverlap="1">
            <wp:simplePos x="0" y="0"/>
            <wp:positionH relativeFrom="column">
              <wp:posOffset>76200</wp:posOffset>
            </wp:positionH>
            <wp:positionV relativeFrom="paragraph">
              <wp:posOffset>36830</wp:posOffset>
            </wp:positionV>
            <wp:extent cx="4885690" cy="2496820"/>
            <wp:effectExtent l="0" t="0" r="10160" b="17780"/>
            <wp:wrapNone/>
            <wp:docPr id="1030" name="图片 45" descr="https://p.ssl.qhimg.com/t015aa4c5aa8491bdea.jpg"/>
            <wp:cNvGraphicFramePr/>
            <a:graphic xmlns:a="http://schemas.openxmlformats.org/drawingml/2006/main">
              <a:graphicData uri="http://schemas.openxmlformats.org/drawingml/2006/picture">
                <pic:pic xmlns:pic="http://schemas.openxmlformats.org/drawingml/2006/picture">
                  <pic:nvPicPr>
                    <pic:cNvPr id="1030" name="图片 45" descr="https://p.ssl.qhimg.com/t015aa4c5aa8491bdea.jpg"/>
                    <pic:cNvPicPr/>
                  </pic:nvPicPr>
                  <pic:blipFill>
                    <a:blip r:embed="rId8" cstate="print"/>
                    <a:srcRect/>
                    <a:stretch>
                      <a:fillRect/>
                    </a:stretch>
                  </pic:blipFill>
                  <pic:spPr>
                    <a:xfrm>
                      <a:off x="0" y="0"/>
                      <a:ext cx="4885690" cy="2496820"/>
                    </a:xfrm>
                    <a:prstGeom prst="rect">
                      <a:avLst/>
                    </a:prstGeom>
                    <a:ln>
                      <a:noFill/>
                    </a:ln>
                  </pic:spPr>
                </pic:pic>
              </a:graphicData>
            </a:graphic>
          </wp:anchor>
        </w:drawing>
      </w: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第六步，在打开页面的左上方，找到“教育部学籍在线验证报告”下方的“查看”按纽，点击进入下级页面。</w:t>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drawing>
          <wp:inline distT="0" distB="0" distL="0" distR="0">
            <wp:extent cx="5020310" cy="2367915"/>
            <wp:effectExtent l="0" t="0" r="8890" b="13335"/>
            <wp:docPr id="1031" name="图片 46" descr="https://p.ssl.qhimg.com/t0164230de37d827c2e.jpg"/>
            <wp:cNvGraphicFramePr/>
            <a:graphic xmlns:a="http://schemas.openxmlformats.org/drawingml/2006/main">
              <a:graphicData uri="http://schemas.openxmlformats.org/drawingml/2006/picture">
                <pic:pic xmlns:pic="http://schemas.openxmlformats.org/drawingml/2006/picture">
                  <pic:nvPicPr>
                    <pic:cNvPr id="1031" name="图片 46" descr="https://p.ssl.qhimg.com/t0164230de37d827c2e.jpg"/>
                    <pic:cNvPicPr/>
                  </pic:nvPicPr>
                  <pic:blipFill>
                    <a:blip r:embed="rId9" cstate="print"/>
                    <a:srcRect/>
                    <a:stretch>
                      <a:fillRect/>
                    </a:stretch>
                  </pic:blipFill>
                  <pic:spPr>
                    <a:xfrm>
                      <a:off x="0" y="0"/>
                      <a:ext cx="5020310" cy="2367915"/>
                    </a:xfrm>
                    <a:prstGeom prst="rect">
                      <a:avLst/>
                    </a:prstGeom>
                    <a:ln>
                      <a:noFill/>
                    </a:ln>
                  </pic:spPr>
                </pic:pic>
              </a:graphicData>
            </a:graphic>
          </wp:inline>
        </w:drawing>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第七步，在打开页面会显示您的学校、及“已申请的报告”信息，找到右侧的“查看”的按纽，点击进入下级页面。</w:t>
      </w:r>
    </w:p>
    <w:p>
      <w:pPr>
        <w:widowControl/>
        <w:shd w:val="clear" w:color="auto" w:fill="FFFFFF"/>
        <w:jc w:val="left"/>
        <w:rPr>
          <w:rFonts w:ascii="Arial" w:hAnsi="Arial" w:cs="Arial"/>
          <w:color w:val="333333"/>
          <w:kern w:val="0"/>
          <w:sz w:val="24"/>
          <w:szCs w:val="24"/>
        </w:rPr>
      </w:pPr>
      <w:r>
        <w:rPr>
          <w:rFonts w:hint="eastAsia" w:ascii="Arial" w:hAnsi="Arial" w:cs="Arial"/>
          <w:color w:val="333333"/>
          <w:kern w:val="0"/>
          <w:sz w:val="24"/>
          <w:szCs w:val="24"/>
        </w:rPr>
        <w:drawing>
          <wp:anchor distT="0" distB="0" distL="0" distR="0" simplePos="0" relativeHeight="251659264" behindDoc="0" locked="0" layoutInCell="1" allowOverlap="1">
            <wp:simplePos x="0" y="0"/>
            <wp:positionH relativeFrom="column">
              <wp:posOffset>15875</wp:posOffset>
            </wp:positionH>
            <wp:positionV relativeFrom="paragraph">
              <wp:posOffset>99060</wp:posOffset>
            </wp:positionV>
            <wp:extent cx="5001260" cy="2328545"/>
            <wp:effectExtent l="44450" t="44450" r="116840" b="103505"/>
            <wp:wrapNone/>
            <wp:docPr id="1032" name="图片 7"/>
            <wp:cNvGraphicFramePr/>
            <a:graphic xmlns:a="http://schemas.openxmlformats.org/drawingml/2006/main">
              <a:graphicData uri="http://schemas.openxmlformats.org/drawingml/2006/picture">
                <pic:pic xmlns:pic="http://schemas.openxmlformats.org/drawingml/2006/picture">
                  <pic:nvPicPr>
                    <pic:cNvPr id="1032" name="图片 7"/>
                    <pic:cNvPicPr/>
                  </pic:nvPicPr>
                  <pic:blipFill>
                    <a:blip r:embed="rId10" cstate="print"/>
                    <a:srcRect/>
                    <a:stretch>
                      <a:fillRect/>
                    </a:stretch>
                  </pic:blipFill>
                  <pic:spPr>
                    <a:xfrm>
                      <a:off x="0" y="0"/>
                      <a:ext cx="5001260" cy="2328545"/>
                    </a:xfrm>
                    <a:prstGeom prst="rect">
                      <a:avLst/>
                    </a:prstGeom>
                    <a:ln w="28575" cap="sq" cmpd="sng">
                      <a:solidFill>
                        <a:srgbClr val="000000"/>
                      </a:solidFill>
                      <a:prstDash val="solid"/>
                      <a:miter/>
                    </a:ln>
                    <a:effectLst>
                      <a:outerShdw blurRad="50800" dist="38100" dir="2700000" algn="tl" rotWithShape="0">
                        <a:srgbClr val="000000">
                          <a:alpha val="43000"/>
                        </a:srgbClr>
                      </a:outerShdw>
                    </a:effectLst>
                  </pic:spPr>
                </pic:pic>
              </a:graphicData>
            </a:graphic>
          </wp:anchor>
        </w:drawing>
      </w: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t>第八步，在打开的页面，会显示您的“教育部学籍在线验证报告”的详细内容，找到右上角的小打印机的标志，点击即可进行打印。</w:t>
      </w:r>
    </w:p>
    <w:p>
      <w:pPr>
        <w:widowControl/>
        <w:shd w:val="clear" w:color="auto" w:fill="FFFFFF"/>
        <w:jc w:val="left"/>
        <w:rPr>
          <w:rFonts w:ascii="Arial" w:hAnsi="Arial" w:cs="Arial"/>
          <w:color w:val="333333"/>
          <w:kern w:val="0"/>
          <w:sz w:val="24"/>
          <w:szCs w:val="24"/>
        </w:rPr>
      </w:pPr>
      <w:r>
        <w:rPr>
          <w:rFonts w:ascii="Arial" w:hAnsi="Arial" w:cs="Arial"/>
          <w:color w:val="333333"/>
          <w:kern w:val="0"/>
          <w:sz w:val="24"/>
          <w:szCs w:val="24"/>
        </w:rPr>
        <w:drawing>
          <wp:anchor distT="0" distB="0" distL="0" distR="0" simplePos="0" relativeHeight="251659264" behindDoc="0" locked="0" layoutInCell="1" allowOverlap="1">
            <wp:simplePos x="0" y="0"/>
            <wp:positionH relativeFrom="column">
              <wp:posOffset>79375</wp:posOffset>
            </wp:positionH>
            <wp:positionV relativeFrom="paragraph">
              <wp:posOffset>149225</wp:posOffset>
            </wp:positionV>
            <wp:extent cx="4931410" cy="2511425"/>
            <wp:effectExtent l="44450" t="44450" r="110490" b="111125"/>
            <wp:wrapNone/>
            <wp:docPr id="1033" name="图片 10"/>
            <wp:cNvGraphicFramePr/>
            <a:graphic xmlns:a="http://schemas.openxmlformats.org/drawingml/2006/main">
              <a:graphicData uri="http://schemas.openxmlformats.org/drawingml/2006/picture">
                <pic:pic xmlns:pic="http://schemas.openxmlformats.org/drawingml/2006/picture">
                  <pic:nvPicPr>
                    <pic:cNvPr id="1033" name="图片 10"/>
                    <pic:cNvPicPr/>
                  </pic:nvPicPr>
                  <pic:blipFill>
                    <a:blip r:embed="rId11" cstate="print"/>
                    <a:srcRect/>
                    <a:stretch>
                      <a:fillRect/>
                    </a:stretch>
                  </pic:blipFill>
                  <pic:spPr>
                    <a:xfrm>
                      <a:off x="0" y="0"/>
                      <a:ext cx="4931410" cy="2511425"/>
                    </a:xfrm>
                    <a:prstGeom prst="rect">
                      <a:avLst/>
                    </a:prstGeom>
                    <a:ln w="28575" cap="sq" cmpd="sng">
                      <a:solidFill>
                        <a:srgbClr val="000000"/>
                      </a:solidFill>
                      <a:prstDash val="solid"/>
                      <a:miter/>
                    </a:ln>
                    <a:effectLst>
                      <a:outerShdw blurRad="50800" dist="38100" dir="2700000" algn="tl" rotWithShape="0">
                        <a:srgbClr val="000000">
                          <a:alpha val="43000"/>
                        </a:srgbClr>
                      </a:outerShdw>
                    </a:effectLst>
                  </pic:spPr>
                </pic:pic>
              </a:graphicData>
            </a:graphic>
          </wp:anchor>
        </w:drawing>
      </w:r>
    </w:p>
    <w:p>
      <w:pPr>
        <w:spacing w:line="600" w:lineRule="exact"/>
        <w:jc w:val="left"/>
        <w:rPr>
          <w:rFonts w:ascii="黑体" w:hAnsi="黑体" w:eastAsia="黑体" w:cs="黑体"/>
          <w:color w:val="000000"/>
          <w:sz w:val="28"/>
          <w:szCs w:val="28"/>
        </w:rPr>
      </w:pPr>
    </w:p>
    <w:p>
      <w:pPr>
        <w:spacing w:line="600" w:lineRule="exact"/>
        <w:jc w:val="left"/>
        <w:rPr>
          <w:rFonts w:ascii="黑体" w:hAnsi="黑体" w:eastAsia="黑体" w:cs="黑体"/>
          <w:color w:val="000000"/>
          <w:sz w:val="28"/>
          <w:szCs w:val="28"/>
        </w:rPr>
      </w:pPr>
    </w:p>
    <w:p>
      <w:pPr>
        <w:spacing w:line="600" w:lineRule="exact"/>
        <w:jc w:val="left"/>
        <w:rPr>
          <w:rFonts w:ascii="黑体" w:hAnsi="黑体" w:eastAsia="黑体" w:cs="黑体"/>
          <w:color w:val="000000"/>
          <w:sz w:val="28"/>
          <w:szCs w:val="28"/>
        </w:rPr>
      </w:pPr>
    </w:p>
    <w:p>
      <w:pPr>
        <w:spacing w:line="600" w:lineRule="exact"/>
        <w:jc w:val="left"/>
        <w:rPr>
          <w:rFonts w:ascii="黑体" w:hAnsi="黑体" w:eastAsia="黑体" w:cs="黑体"/>
          <w:color w:val="000000"/>
          <w:sz w:val="28"/>
          <w:szCs w:val="28"/>
        </w:rPr>
      </w:pPr>
    </w:p>
    <w:p>
      <w:pPr>
        <w:spacing w:line="600" w:lineRule="exact"/>
        <w:jc w:val="left"/>
        <w:rPr>
          <w:rFonts w:ascii="黑体" w:hAnsi="黑体" w:eastAsia="黑体" w:cs="黑体"/>
          <w:color w:val="000000"/>
          <w:sz w:val="28"/>
          <w:szCs w:val="28"/>
        </w:rPr>
      </w:pPr>
    </w:p>
    <w:p>
      <w:pPr>
        <w:spacing w:line="600" w:lineRule="exact"/>
        <w:jc w:val="left"/>
        <w:rPr>
          <w:rFonts w:ascii="黑体" w:hAnsi="黑体" w:eastAsia="黑体" w:cs="黑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007B3"/>
    <w:rsid w:val="1FE007B3"/>
    <w:rsid w:val="3A201308"/>
    <w:rsid w:val="6ADF57EC"/>
    <w:rsid w:val="6DD9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rFonts w:eastAsia="黑体"/>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2021-04-30T09:11:00Z</dcterms:created>
  <dc:creator>任丽琼</dc:creator>
  <cp:lastModifiedBy>任丽琼</cp:lastModifiedBy>
  <dcterms:modified xsi:type="dcterms:W3CDTF">2021-04-30T09:12:55Z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0411748D89F24BDC93890B186890640A</vt:lpwstr>
  </property>
</Properties>
</file>