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baseline"/>
        <w:rPr>
          <w:rFonts w:hint="eastAsia" w:ascii="黑体" w:hAnsi="黑体" w:eastAsia="黑体" w:cs="黑体"/>
          <w:sz w:val="28"/>
          <w:szCs w:val="28"/>
        </w:rPr>
      </w:pPr>
    </w:p>
    <w:p>
      <w:pPr>
        <w:spacing w:line="400" w:lineRule="exact"/>
        <w:jc w:val="left"/>
        <w:textAlignment w:val="baseline"/>
        <w:rPr>
          <w:rFonts w:ascii="黑体" w:hAnsi="黑体" w:eastAsia="黑体"/>
          <w:sz w:val="32"/>
        </w:rPr>
      </w:pPr>
      <w:r>
        <w:rPr>
          <w:rFonts w:hint="eastAsia" w:ascii="黑体" w:hAnsi="黑体" w:eastAsia="黑体"/>
          <w:sz w:val="32"/>
        </w:rPr>
        <w:t>附件</w:t>
      </w:r>
      <w:r>
        <w:rPr>
          <w:rFonts w:ascii="黑体" w:hAnsi="黑体" w:eastAsia="黑体"/>
          <w:sz w:val="32"/>
        </w:rPr>
        <w:t>1</w:t>
      </w:r>
    </w:p>
    <w:p>
      <w:pPr>
        <w:spacing w:line="520" w:lineRule="exact"/>
        <w:jc w:val="center"/>
        <w:textAlignment w:val="baseline"/>
        <w:rPr>
          <w:rFonts w:ascii="方正小标宋简体" w:hAnsi="宋体" w:eastAsia="方正小标宋简体"/>
          <w:sz w:val="32"/>
        </w:rPr>
      </w:pPr>
      <w:r>
        <w:rPr>
          <w:rFonts w:hint="eastAsia" w:ascii="方正小标宋简体" w:hAnsi="宋体" w:eastAsia="方正小标宋简体"/>
          <w:sz w:val="32"/>
        </w:rPr>
        <w:t>2022年普通专升本招生专业对高职（专科）</w:t>
      </w:r>
    </w:p>
    <w:p>
      <w:pPr>
        <w:spacing w:line="520" w:lineRule="exact"/>
        <w:jc w:val="center"/>
        <w:textAlignment w:val="baseline"/>
        <w:rPr>
          <w:rFonts w:ascii="方正小标宋简体" w:hAnsi="宋体" w:eastAsia="方正小标宋简体"/>
          <w:sz w:val="32"/>
        </w:rPr>
      </w:pPr>
      <w:r>
        <w:rPr>
          <w:rFonts w:hint="eastAsia" w:ascii="方正小标宋简体" w:hAnsi="宋体" w:eastAsia="方正小标宋简体"/>
          <w:sz w:val="32"/>
        </w:rPr>
        <w:t>专业的报考范围要求</w:t>
      </w:r>
    </w:p>
    <w:p>
      <w:pPr>
        <w:spacing w:after="156" w:line="320" w:lineRule="exact"/>
        <w:textAlignment w:val="baseline"/>
        <w:rPr>
          <w:rFonts w:ascii="宋体" w:hAnsi="宋体" w:eastAsia="宋体"/>
          <w:bCs/>
          <w:sz w:val="28"/>
          <w:szCs w:val="28"/>
        </w:rPr>
      </w:pPr>
      <w:r>
        <w:rPr>
          <w:rFonts w:hint="eastAsia" w:ascii="宋体" w:hAnsi="宋体" w:eastAsia="宋体"/>
          <w:bCs/>
          <w:sz w:val="28"/>
          <w:szCs w:val="28"/>
        </w:rPr>
        <w:t>（一）普通考生</w:t>
      </w:r>
    </w:p>
    <w:tbl>
      <w:tblPr>
        <w:tblStyle w:val="3"/>
        <w:tblW w:w="9776" w:type="dxa"/>
        <w:jc w:val="center"/>
        <w:tblLayout w:type="fixed"/>
        <w:tblCellMar>
          <w:top w:w="0" w:type="dxa"/>
          <w:left w:w="0" w:type="dxa"/>
          <w:bottom w:w="0" w:type="dxa"/>
          <w:right w:w="0" w:type="dxa"/>
        </w:tblCellMar>
      </w:tblPr>
      <w:tblGrid>
        <w:gridCol w:w="2065"/>
        <w:gridCol w:w="7711"/>
      </w:tblGrid>
      <w:tr>
        <w:tblPrEx>
          <w:tblCellMar>
            <w:top w:w="0" w:type="dxa"/>
            <w:left w:w="0" w:type="dxa"/>
            <w:bottom w:w="0" w:type="dxa"/>
            <w:right w:w="0" w:type="dxa"/>
          </w:tblCellMar>
        </w:tblPrEx>
        <w:trPr>
          <w:trHeight w:val="532"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textAlignment w:val="baseline"/>
              <w:rPr>
                <w:rFonts w:ascii="宋体" w:hAnsi="宋体" w:eastAsia="宋体"/>
                <w:bCs/>
                <w:sz w:val="24"/>
                <w:szCs w:val="24"/>
              </w:rPr>
            </w:pPr>
            <w:r>
              <w:rPr>
                <w:rFonts w:hint="eastAsia" w:ascii="宋体" w:hAnsi="宋体" w:eastAsia="宋体" w:cs="宋体"/>
                <w:bCs/>
                <w:sz w:val="24"/>
                <w:szCs w:val="24"/>
              </w:rPr>
              <w:t>招生专业</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textAlignment w:val="baseline"/>
              <w:rPr>
                <w:rFonts w:ascii="宋体" w:hAnsi="宋体" w:eastAsia="宋体"/>
                <w:bCs/>
                <w:sz w:val="24"/>
                <w:szCs w:val="24"/>
              </w:rPr>
            </w:pPr>
            <w:r>
              <w:rPr>
                <w:rFonts w:hint="eastAsia" w:ascii="宋体" w:hAnsi="宋体" w:eastAsia="宋体" w:cs="宋体"/>
                <w:bCs/>
                <w:sz w:val="24"/>
                <w:szCs w:val="24"/>
              </w:rPr>
              <w:t>对应高职高专专业</w:t>
            </w:r>
          </w:p>
        </w:tc>
      </w:tr>
      <w:tr>
        <w:tblPrEx>
          <w:tblCellMar>
            <w:top w:w="0" w:type="dxa"/>
            <w:left w:w="0" w:type="dxa"/>
            <w:bottom w:w="0" w:type="dxa"/>
            <w:right w:w="0" w:type="dxa"/>
          </w:tblCellMar>
        </w:tblPrEx>
        <w:trPr>
          <w:trHeight w:val="587"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生物工程</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left"/>
              <w:textAlignment w:val="baseline"/>
              <w:rPr>
                <w:rFonts w:ascii="宋体" w:hAnsi="宋体" w:eastAsia="宋体"/>
                <w:sz w:val="20"/>
              </w:rPr>
            </w:pPr>
            <w:r>
              <w:rPr>
                <w:rFonts w:hint="eastAsia" w:ascii="宋体" w:hAnsi="宋体" w:eastAsia="宋体"/>
              </w:rPr>
              <w:t>药品生物技术、农业生物技术、食品生物技术、医学生物技术、生物产品检验检疫、生物药生产技术及其相关专业</w:t>
            </w:r>
          </w:p>
        </w:tc>
      </w:tr>
      <w:tr>
        <w:tblPrEx>
          <w:tblCellMar>
            <w:top w:w="0" w:type="dxa"/>
            <w:left w:w="0" w:type="dxa"/>
            <w:bottom w:w="0" w:type="dxa"/>
            <w:right w:w="0" w:type="dxa"/>
          </w:tblCellMar>
        </w:tblPrEx>
        <w:trPr>
          <w:trHeight w:val="345"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制药工程</w:t>
            </w:r>
          </w:p>
        </w:tc>
        <w:tc>
          <w:tcPr>
            <w:tcW w:w="7711" w:type="dxa"/>
            <w:vMerge w:val="restart"/>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中药生产与加工、药品生产技术、药品经营与管理、中药学、药学、药品生物技术、制药设备应用技术、药品质量与安全及</w:t>
            </w:r>
            <w:r>
              <w:rPr>
                <w:rFonts w:ascii="宋体" w:hAnsi="宋体" w:eastAsia="宋体" w:cs="宋体"/>
              </w:rPr>
              <w:t>其相关专业</w:t>
            </w:r>
          </w:p>
        </w:tc>
      </w:tr>
      <w:tr>
        <w:tblPrEx>
          <w:tblCellMar>
            <w:top w:w="0" w:type="dxa"/>
            <w:left w:w="0" w:type="dxa"/>
            <w:bottom w:w="0" w:type="dxa"/>
            <w:right w:w="0" w:type="dxa"/>
          </w:tblCellMar>
        </w:tblPrEx>
        <w:trPr>
          <w:trHeight w:val="345"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cs="宋体"/>
                <w:sz w:val="20"/>
              </w:rPr>
            </w:pPr>
            <w:r>
              <w:rPr>
                <w:rFonts w:hint="eastAsia" w:ascii="宋体" w:hAnsi="宋体" w:eastAsia="宋体" w:cs="宋体"/>
              </w:rPr>
              <w:t>药</w:t>
            </w:r>
            <w:r>
              <w:rPr>
                <w:rFonts w:ascii="宋体" w:hAnsi="宋体" w:eastAsia="宋体" w:cs="宋体"/>
              </w:rPr>
              <w:t>学</w:t>
            </w:r>
          </w:p>
        </w:tc>
        <w:tc>
          <w:tcPr>
            <w:tcW w:w="7711" w:type="dxa"/>
            <w:vMerge w:val="continue"/>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sz w:val="20"/>
              </w:rPr>
            </w:pPr>
          </w:p>
        </w:tc>
      </w:tr>
      <w:tr>
        <w:tblPrEx>
          <w:tblCellMar>
            <w:top w:w="0" w:type="dxa"/>
            <w:left w:w="0" w:type="dxa"/>
            <w:bottom w:w="0" w:type="dxa"/>
            <w:right w:w="0" w:type="dxa"/>
          </w:tblCellMar>
        </w:tblPrEx>
        <w:trPr>
          <w:trHeight w:val="359"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中药学</w:t>
            </w:r>
          </w:p>
        </w:tc>
        <w:tc>
          <w:tcPr>
            <w:tcW w:w="7711" w:type="dxa"/>
            <w:vMerge w:val="continue"/>
            <w:tcBorders>
              <w:left w:val="single" w:color="000000" w:sz="4" w:space="0"/>
              <w:bottom w:val="single" w:color="000000" w:sz="4" w:space="0"/>
              <w:right w:val="single" w:color="000000" w:sz="4" w:space="0"/>
            </w:tcBorders>
            <w:tcMar>
              <w:left w:w="0" w:type="dxa"/>
              <w:right w:w="0" w:type="dxa"/>
            </w:tcMar>
          </w:tcPr>
          <w:p>
            <w:pPr>
              <w:snapToGrid w:val="0"/>
              <w:spacing w:line="240" w:lineRule="atLeast"/>
              <w:jc w:val="left"/>
              <w:textAlignment w:val="baseline"/>
              <w:rPr>
                <w:rFonts w:ascii="宋体" w:hAnsi="宋体" w:eastAsia="宋体"/>
                <w:sz w:val="20"/>
              </w:rPr>
            </w:pPr>
          </w:p>
        </w:tc>
      </w:tr>
      <w:tr>
        <w:tblPrEx>
          <w:tblCellMar>
            <w:top w:w="0" w:type="dxa"/>
            <w:left w:w="0" w:type="dxa"/>
            <w:bottom w:w="0" w:type="dxa"/>
            <w:right w:w="0" w:type="dxa"/>
          </w:tblCellMar>
        </w:tblPrEx>
        <w:trPr>
          <w:trHeight w:val="279"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财务管理</w:t>
            </w:r>
          </w:p>
        </w:tc>
        <w:tc>
          <w:tcPr>
            <w:tcW w:w="7711" w:type="dxa"/>
            <w:vMerge w:val="restart"/>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会计、财务管理、市场营销、旅游管理、电子商务、艺术设计及其相关专业</w:t>
            </w:r>
          </w:p>
        </w:tc>
      </w:tr>
      <w:tr>
        <w:tblPrEx>
          <w:tblCellMar>
            <w:top w:w="0" w:type="dxa"/>
            <w:left w:w="0" w:type="dxa"/>
            <w:bottom w:w="0" w:type="dxa"/>
            <w:right w:w="0" w:type="dxa"/>
          </w:tblCellMar>
        </w:tblPrEx>
        <w:trPr>
          <w:trHeight w:val="271"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市场营销</w:t>
            </w:r>
          </w:p>
        </w:tc>
        <w:tc>
          <w:tcPr>
            <w:tcW w:w="7711" w:type="dxa"/>
            <w:vMerge w:val="continue"/>
            <w:tcBorders>
              <w:left w:val="single" w:color="000000" w:sz="4" w:space="0"/>
              <w:right w:val="single" w:color="000000" w:sz="4" w:space="0"/>
            </w:tcBorders>
            <w:tcMar>
              <w:left w:w="0" w:type="dxa"/>
              <w:right w:w="0" w:type="dxa"/>
            </w:tcMar>
          </w:tcPr>
          <w:p>
            <w:pPr>
              <w:snapToGrid w:val="0"/>
              <w:spacing w:line="240" w:lineRule="atLeast"/>
              <w:jc w:val="left"/>
              <w:textAlignment w:val="baseline"/>
              <w:rPr>
                <w:rFonts w:ascii="宋体" w:hAnsi="宋体" w:eastAsia="宋体"/>
                <w:sz w:val="20"/>
              </w:rPr>
            </w:pPr>
          </w:p>
        </w:tc>
      </w:tr>
      <w:tr>
        <w:tblPrEx>
          <w:tblCellMar>
            <w:top w:w="0" w:type="dxa"/>
            <w:left w:w="0" w:type="dxa"/>
            <w:bottom w:w="0" w:type="dxa"/>
            <w:right w:w="0" w:type="dxa"/>
          </w:tblCellMar>
        </w:tblPrEx>
        <w:trPr>
          <w:trHeight w:val="291"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文化产业管理</w:t>
            </w:r>
          </w:p>
        </w:tc>
        <w:tc>
          <w:tcPr>
            <w:tcW w:w="7711" w:type="dxa"/>
            <w:vMerge w:val="continue"/>
            <w:tcBorders>
              <w:left w:val="single" w:color="000000" w:sz="4" w:space="0"/>
              <w:bottom w:val="single" w:color="000000" w:sz="4" w:space="0"/>
              <w:right w:val="single" w:color="000000" w:sz="4" w:space="0"/>
            </w:tcBorders>
            <w:tcMar>
              <w:left w:w="0" w:type="dxa"/>
              <w:right w:w="0" w:type="dxa"/>
            </w:tcMar>
          </w:tcPr>
          <w:p>
            <w:pPr>
              <w:snapToGrid w:val="0"/>
              <w:spacing w:line="240" w:lineRule="atLeast"/>
              <w:jc w:val="left"/>
              <w:textAlignment w:val="baseline"/>
              <w:rPr>
                <w:rFonts w:ascii="宋体" w:hAnsi="宋体" w:eastAsia="宋体"/>
                <w:sz w:val="20"/>
              </w:rPr>
            </w:pPr>
          </w:p>
        </w:tc>
      </w:tr>
      <w:tr>
        <w:tblPrEx>
          <w:tblCellMar>
            <w:top w:w="0" w:type="dxa"/>
            <w:left w:w="0" w:type="dxa"/>
            <w:bottom w:w="0" w:type="dxa"/>
            <w:right w:w="0" w:type="dxa"/>
          </w:tblCellMar>
        </w:tblPrEx>
        <w:trPr>
          <w:trHeight w:val="908"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cs="宋体"/>
                <w:sz w:val="20"/>
              </w:rPr>
            </w:pPr>
            <w:r>
              <w:rPr>
                <w:rFonts w:hint="eastAsia" w:ascii="宋体" w:hAnsi="宋体" w:eastAsia="宋体" w:cs="宋体"/>
              </w:rPr>
              <w:t>机械设计制造及其</w:t>
            </w:r>
          </w:p>
          <w:p>
            <w:pPr>
              <w:snapToGrid w:val="0"/>
              <w:spacing w:line="240" w:lineRule="atLeast"/>
              <w:jc w:val="center"/>
              <w:textAlignment w:val="baseline"/>
              <w:rPr>
                <w:rFonts w:ascii="宋体" w:hAnsi="宋体" w:eastAsia="宋体"/>
                <w:sz w:val="20"/>
              </w:rPr>
            </w:pPr>
            <w:r>
              <w:rPr>
                <w:rFonts w:hint="eastAsia" w:ascii="宋体" w:hAnsi="宋体" w:eastAsia="宋体" w:cs="宋体"/>
              </w:rPr>
              <w:t>自动化</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sz w:val="20"/>
              </w:rPr>
            </w:pPr>
            <w:r>
              <w:rPr>
                <w:rFonts w:hint="eastAsia" w:ascii="宋体" w:hAnsi="宋体" w:eastAsia="宋体" w:cs="宋体"/>
              </w:rPr>
              <w:t>机械设计与制造、机械制造与自动化、数控技术、机械装备制造技术、自动化生产设备应用、机电设备安装技术、机电设备维修与管理、机电一体化技术及</w:t>
            </w:r>
            <w:r>
              <w:rPr>
                <w:rFonts w:ascii="宋体" w:hAnsi="宋体" w:eastAsia="宋体" w:cs="宋体"/>
              </w:rPr>
              <w:t>其相关专业</w:t>
            </w:r>
          </w:p>
        </w:tc>
      </w:tr>
      <w:tr>
        <w:tblPrEx>
          <w:tblCellMar>
            <w:top w:w="0" w:type="dxa"/>
            <w:left w:w="0" w:type="dxa"/>
            <w:bottom w:w="0" w:type="dxa"/>
            <w:right w:w="0" w:type="dxa"/>
          </w:tblCellMar>
        </w:tblPrEx>
        <w:trPr>
          <w:trHeight w:val="1428"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土木工程</w:t>
            </w:r>
          </w:p>
        </w:tc>
        <w:tc>
          <w:tcPr>
            <w:tcW w:w="7711" w:type="dxa"/>
            <w:vMerge w:val="restart"/>
            <w:tcBorders>
              <w:top w:val="single" w:color="000000" w:sz="4" w:space="0"/>
              <w:left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建筑工程技术、工程造价、给排水工程技术、市政工程技术、建设工程管理、建设工程监理、建设项目信息化管理、地下与隧道工程技术、矿井建设、建筑装饰工程技术、古建筑工程技术、园林工程技术、村镇建设与管理、铁道工程技术、铁路桥梁与隧道工程技术、高速铁道工程技术、港口与航道工程技术、城市轨道交通工程技术、物业管理、水利水电工程管理、建筑设备工程技术、供热通风与空调工程技术、建筑智能化工程技术、工业设备安装工程技术、消防工程技术等相关专业</w:t>
            </w:r>
          </w:p>
        </w:tc>
      </w:tr>
      <w:tr>
        <w:tblPrEx>
          <w:tblCellMar>
            <w:top w:w="0" w:type="dxa"/>
            <w:left w:w="0" w:type="dxa"/>
            <w:bottom w:w="0" w:type="dxa"/>
            <w:right w:w="0" w:type="dxa"/>
          </w:tblCellMar>
        </w:tblPrEx>
        <w:trPr>
          <w:trHeight w:val="786"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工程造价</w:t>
            </w:r>
          </w:p>
        </w:tc>
        <w:tc>
          <w:tcPr>
            <w:tcW w:w="7711" w:type="dxa"/>
            <w:vMerge w:val="continue"/>
            <w:tcBorders>
              <w:left w:val="single" w:color="000000" w:sz="4" w:space="0"/>
              <w:bottom w:val="single" w:color="000000" w:sz="4" w:space="0"/>
              <w:right w:val="single" w:color="000000" w:sz="4" w:space="0"/>
            </w:tcBorders>
            <w:tcMar>
              <w:left w:w="0" w:type="dxa"/>
              <w:right w:w="0" w:type="dxa"/>
            </w:tcMar>
          </w:tcPr>
          <w:p>
            <w:pPr>
              <w:snapToGrid w:val="0"/>
              <w:spacing w:line="240" w:lineRule="atLeast"/>
              <w:jc w:val="left"/>
              <w:textAlignment w:val="baseline"/>
              <w:rPr>
                <w:rFonts w:ascii="宋体" w:hAnsi="宋体" w:eastAsia="宋体"/>
                <w:sz w:val="20"/>
              </w:rPr>
            </w:pPr>
          </w:p>
        </w:tc>
      </w:tr>
      <w:tr>
        <w:tblPrEx>
          <w:tblCellMar>
            <w:top w:w="0" w:type="dxa"/>
            <w:left w:w="0" w:type="dxa"/>
            <w:bottom w:w="0" w:type="dxa"/>
            <w:right w:w="0" w:type="dxa"/>
          </w:tblCellMar>
        </w:tblPrEx>
        <w:trPr>
          <w:trHeight w:val="1519"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center"/>
              <w:textAlignment w:val="baseline"/>
              <w:rPr>
                <w:rFonts w:ascii="宋体" w:hAnsi="宋体" w:eastAsia="宋体"/>
                <w:sz w:val="20"/>
              </w:rPr>
            </w:pPr>
            <w:r>
              <w:rPr>
                <w:rFonts w:hint="eastAsia" w:ascii="宋体" w:hAnsi="宋体" w:eastAsia="宋体"/>
              </w:rPr>
              <w:t>食品科学与工程</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left"/>
              <w:textAlignment w:val="baseline"/>
              <w:rPr>
                <w:rFonts w:ascii="宋体" w:hAnsi="宋体" w:eastAsia="宋体"/>
                <w:sz w:val="20"/>
              </w:rPr>
            </w:pPr>
            <w:r>
              <w:rPr>
                <w:rFonts w:hint="eastAsia" w:ascii="宋体" w:hAnsi="宋体" w:eastAsia="宋体"/>
              </w:rPr>
              <w:t>食品营养与检测、食品检验检测技术、食品加工技术、食品生物技术、农业生物技术、食品贮运与营销、食品营养与卫生、保健品开发与管理、绿色食品生产与检验、农产品加工与质量检测、食品质量与安全、粮食工程技术、粮油储藏与检测技术、生物产品检验检疫、烹调工艺与营养、营养配餐、中西面点工艺、西餐工艺及其相关专业</w:t>
            </w:r>
          </w:p>
        </w:tc>
      </w:tr>
      <w:tr>
        <w:tblPrEx>
          <w:tblCellMar>
            <w:top w:w="0" w:type="dxa"/>
            <w:left w:w="0" w:type="dxa"/>
            <w:bottom w:w="0" w:type="dxa"/>
            <w:right w:w="0" w:type="dxa"/>
          </w:tblCellMar>
        </w:tblPrEx>
        <w:trPr>
          <w:trHeight w:val="532"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园林</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园林技术、园艺技术、园林工程技术、风景</w:t>
            </w:r>
            <w:r>
              <w:rPr>
                <w:rFonts w:ascii="宋体" w:hAnsi="宋体" w:eastAsia="宋体" w:cs="宋体"/>
              </w:rPr>
              <w:t>园林设计</w:t>
            </w:r>
            <w:r>
              <w:rPr>
                <w:rFonts w:hint="eastAsia" w:ascii="宋体" w:hAnsi="宋体" w:eastAsia="宋体" w:cs="宋体"/>
              </w:rPr>
              <w:t>及其相关专业</w:t>
            </w:r>
          </w:p>
        </w:tc>
      </w:tr>
      <w:tr>
        <w:tblPrEx>
          <w:tblCellMar>
            <w:top w:w="0" w:type="dxa"/>
            <w:left w:w="0" w:type="dxa"/>
            <w:bottom w:w="0" w:type="dxa"/>
            <w:right w:w="0" w:type="dxa"/>
          </w:tblCellMar>
        </w:tblPrEx>
        <w:trPr>
          <w:trHeight w:val="532"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cs="宋体"/>
                <w:sz w:val="20"/>
              </w:rPr>
            </w:pPr>
            <w:r>
              <w:rPr>
                <w:rFonts w:hint="eastAsia" w:ascii="宋体" w:hAnsi="宋体" w:eastAsia="宋体" w:cs="宋体"/>
              </w:rPr>
              <w:t>园艺</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sz w:val="20"/>
              </w:rPr>
            </w:pPr>
            <w:r>
              <w:rPr>
                <w:rFonts w:hint="eastAsia" w:ascii="宋体" w:hAnsi="宋体" w:eastAsia="宋体" w:cs="宋体"/>
              </w:rPr>
              <w:t>园艺</w:t>
            </w:r>
            <w:r>
              <w:rPr>
                <w:rFonts w:ascii="宋体" w:hAnsi="宋体" w:eastAsia="宋体" w:cs="宋体"/>
              </w:rPr>
              <w:t>技术</w:t>
            </w:r>
            <w:r>
              <w:rPr>
                <w:rFonts w:hint="eastAsia" w:ascii="宋体" w:hAnsi="宋体" w:eastAsia="宋体" w:cs="宋体"/>
              </w:rPr>
              <w:t>、茶叶</w:t>
            </w:r>
            <w:r>
              <w:rPr>
                <w:rFonts w:ascii="宋体" w:hAnsi="宋体" w:eastAsia="宋体" w:cs="宋体"/>
              </w:rPr>
              <w:t>栽培与茶叶加工</w:t>
            </w:r>
            <w:r>
              <w:rPr>
                <w:rFonts w:hint="eastAsia" w:ascii="宋体" w:hAnsi="宋体" w:eastAsia="宋体" w:cs="宋体"/>
              </w:rPr>
              <w:t>及其相关专业</w:t>
            </w:r>
          </w:p>
        </w:tc>
      </w:tr>
      <w:tr>
        <w:tblPrEx>
          <w:tblCellMar>
            <w:top w:w="0" w:type="dxa"/>
            <w:left w:w="0" w:type="dxa"/>
            <w:bottom w:w="0" w:type="dxa"/>
            <w:right w:w="0" w:type="dxa"/>
          </w:tblCellMar>
        </w:tblPrEx>
        <w:trPr>
          <w:trHeight w:val="1286"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center"/>
              <w:textAlignment w:val="baseline"/>
              <w:rPr>
                <w:rFonts w:ascii="宋体" w:hAnsi="宋体" w:eastAsia="宋体"/>
                <w:sz w:val="20"/>
              </w:rPr>
            </w:pPr>
            <w:r>
              <w:rPr>
                <w:rFonts w:hint="eastAsia" w:ascii="宋体" w:hAnsi="宋体" w:eastAsia="宋体"/>
              </w:rPr>
              <w:t>环境工程</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snapToGrid w:val="0"/>
              <w:spacing w:line="240" w:lineRule="atLeast"/>
              <w:jc w:val="left"/>
              <w:textAlignment w:val="baseline"/>
              <w:rPr>
                <w:rFonts w:ascii="宋体" w:hAnsi="宋体" w:eastAsia="宋体"/>
                <w:sz w:val="20"/>
              </w:rPr>
            </w:pPr>
            <w:r>
              <w:rPr>
                <w:rFonts w:hint="eastAsia" w:ascii="宋体" w:hAnsi="宋体" w:eastAsia="宋体"/>
              </w:rPr>
              <w:t>环境工程技术、环境监测与控制技术、农村环境保护、室内环境检测与控制技术、环境信息技术、核与辐射检测防护技术、环境规划与管理、环境评价与咨询服务、污染修复与生态工程技术、清洁生产与减排技术、资源综合利用与管理技术、安全健康与环保、化工安全技术及其相关专业</w:t>
            </w:r>
          </w:p>
        </w:tc>
      </w:tr>
      <w:tr>
        <w:tblPrEx>
          <w:tblCellMar>
            <w:top w:w="0" w:type="dxa"/>
            <w:left w:w="0" w:type="dxa"/>
            <w:bottom w:w="0" w:type="dxa"/>
            <w:right w:w="0" w:type="dxa"/>
          </w:tblCellMar>
        </w:tblPrEx>
        <w:trPr>
          <w:trHeight w:val="1127"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计算机科学与技术</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ascii="宋体" w:hAnsi="宋体" w:eastAsia="宋体"/>
              </w:rPr>
              <w:t>计算机应用技术、计算机网络技术、计算机信息管理、计算机系统与维护、软件技术、软件与信息服务、嵌入式技术与应用、信息安全与管理、移动应用开发、云计算技术与应用、电子商务技术、移动商务、监所信息技术应用</w:t>
            </w:r>
            <w:r>
              <w:rPr>
                <w:rFonts w:hint="eastAsia" w:ascii="宋体" w:hAnsi="宋体" w:eastAsia="宋体"/>
              </w:rPr>
              <w:t>及其</w:t>
            </w:r>
            <w:r>
              <w:rPr>
                <w:rFonts w:ascii="宋体" w:hAnsi="宋体" w:eastAsia="宋体"/>
              </w:rPr>
              <w:t>相关</w:t>
            </w:r>
            <w:r>
              <w:rPr>
                <w:rFonts w:hint="eastAsia" w:ascii="宋体" w:hAnsi="宋体" w:eastAsia="宋体"/>
              </w:rPr>
              <w:t>专业</w:t>
            </w:r>
          </w:p>
        </w:tc>
      </w:tr>
      <w:tr>
        <w:tblPrEx>
          <w:tblCellMar>
            <w:top w:w="0" w:type="dxa"/>
            <w:left w:w="0" w:type="dxa"/>
            <w:bottom w:w="0" w:type="dxa"/>
            <w:right w:w="0" w:type="dxa"/>
          </w:tblCellMar>
        </w:tblPrEx>
        <w:trPr>
          <w:trHeight w:val="714"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信息管理与信息系统</w:t>
            </w:r>
          </w:p>
        </w:tc>
        <w:tc>
          <w:tcPr>
            <w:tcW w:w="771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网络舆情监测、出版信息管理、经济信息管理、会计信息管理、卫生信息管理、城市信息化管理、环境信息技术及</w:t>
            </w:r>
            <w:r>
              <w:rPr>
                <w:rFonts w:ascii="宋体" w:hAnsi="宋体" w:eastAsia="宋体" w:cs="宋体"/>
              </w:rPr>
              <w:t>其相关专业</w:t>
            </w:r>
          </w:p>
        </w:tc>
      </w:tr>
      <w:tr>
        <w:tblPrEx>
          <w:tblCellMar>
            <w:top w:w="0" w:type="dxa"/>
            <w:left w:w="0" w:type="dxa"/>
            <w:bottom w:w="0" w:type="dxa"/>
            <w:right w:w="0" w:type="dxa"/>
          </w:tblCellMar>
        </w:tblPrEx>
        <w:trPr>
          <w:trHeight w:val="421"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环境设计</w:t>
            </w:r>
          </w:p>
        </w:tc>
        <w:tc>
          <w:tcPr>
            <w:tcW w:w="7711" w:type="dxa"/>
            <w:tcBorders>
              <w:top w:val="single" w:color="auto"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艺术设计及通过艺术类考试招生录取的高职高专相关专业</w:t>
            </w:r>
          </w:p>
        </w:tc>
      </w:tr>
      <w:tr>
        <w:tblPrEx>
          <w:tblCellMar>
            <w:top w:w="0" w:type="dxa"/>
            <w:left w:w="0" w:type="dxa"/>
            <w:bottom w:w="0" w:type="dxa"/>
            <w:right w:w="0" w:type="dxa"/>
          </w:tblCellMar>
        </w:tblPrEx>
        <w:trPr>
          <w:trHeight w:val="379"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rPr>
              <w:t>视觉传达设计</w:t>
            </w:r>
          </w:p>
        </w:tc>
        <w:tc>
          <w:tcPr>
            <w:tcW w:w="7711" w:type="dxa"/>
            <w:tcBorders>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艺术设计及通过艺术类考试招生录取的高职高专相关专业</w:t>
            </w:r>
          </w:p>
        </w:tc>
      </w:tr>
      <w:tr>
        <w:tblPrEx>
          <w:tblCellMar>
            <w:top w:w="0" w:type="dxa"/>
            <w:left w:w="0" w:type="dxa"/>
            <w:bottom w:w="0" w:type="dxa"/>
            <w:right w:w="0" w:type="dxa"/>
          </w:tblCellMar>
        </w:tblPrEx>
        <w:trPr>
          <w:trHeight w:val="461"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sz w:val="20"/>
              </w:rPr>
            </w:pPr>
            <w:r>
              <w:rPr>
                <w:rFonts w:hint="eastAsia" w:ascii="宋体" w:hAnsi="宋体" w:eastAsia="宋体" w:cs="宋体"/>
              </w:rPr>
              <w:t>社会体育指导与管理</w:t>
            </w:r>
          </w:p>
        </w:tc>
        <w:tc>
          <w:tcPr>
            <w:tcW w:w="7711" w:type="dxa"/>
            <w:tcBorders>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不限专业（鼓励有一定体育基础和兴趣爱好者报考）</w:t>
            </w:r>
          </w:p>
        </w:tc>
      </w:tr>
      <w:tr>
        <w:tblPrEx>
          <w:tblCellMar>
            <w:top w:w="0" w:type="dxa"/>
            <w:left w:w="0" w:type="dxa"/>
            <w:bottom w:w="0" w:type="dxa"/>
            <w:right w:w="0" w:type="dxa"/>
          </w:tblCellMar>
        </w:tblPrEx>
        <w:trPr>
          <w:trHeight w:val="532" w:hRule="exact"/>
          <w:jc w:val="center"/>
        </w:trPr>
        <w:tc>
          <w:tcPr>
            <w:tcW w:w="206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center"/>
              <w:textAlignment w:val="baseline"/>
              <w:rPr>
                <w:rFonts w:ascii="宋体" w:hAnsi="宋体" w:eastAsia="宋体"/>
              </w:rPr>
            </w:pPr>
            <w:r>
              <w:rPr>
                <w:rFonts w:hint="eastAsia" w:ascii="宋体" w:hAnsi="宋体" w:eastAsia="宋体"/>
              </w:rPr>
              <w:t>英语</w:t>
            </w:r>
          </w:p>
        </w:tc>
        <w:tc>
          <w:tcPr>
            <w:tcW w:w="7711"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rPr>
            </w:pPr>
            <w:r>
              <w:rPr>
                <w:rFonts w:hint="eastAsia" w:ascii="宋体" w:hAnsi="宋体" w:eastAsia="宋体"/>
              </w:rPr>
              <w:t>语言类、教育类、文化类、旅游类、财经商贸类、新闻传播类、文秘类、公共管理与服务类等相关专业</w:t>
            </w:r>
          </w:p>
        </w:tc>
      </w:tr>
    </w:tbl>
    <w:p>
      <w:pPr>
        <w:spacing w:line="400" w:lineRule="exact"/>
        <w:textAlignment w:val="baseline"/>
        <w:rPr>
          <w:rFonts w:ascii="宋体" w:hAnsi="宋体" w:eastAsia="宋体"/>
          <w:sz w:val="22"/>
        </w:rPr>
      </w:pPr>
      <w:r>
        <w:rPr>
          <w:rFonts w:hint="eastAsia" w:ascii="宋体" w:hAnsi="宋体" w:eastAsia="宋体"/>
          <w:sz w:val="22"/>
        </w:rPr>
        <w:t>注：上表未列出的高职高专专业，应报考我校已公布的相同或相近本科招生专业。</w:t>
      </w:r>
    </w:p>
    <w:p>
      <w:pPr>
        <w:spacing w:line="400" w:lineRule="exact"/>
        <w:jc w:val="left"/>
        <w:textAlignment w:val="baseline"/>
        <w:rPr>
          <w:rFonts w:ascii="宋体" w:hAnsi="宋体" w:eastAsia="宋体"/>
          <w:sz w:val="22"/>
        </w:rPr>
      </w:pPr>
    </w:p>
    <w:p>
      <w:pPr>
        <w:numPr>
          <w:ilvl w:val="0"/>
          <w:numId w:val="1"/>
        </w:numPr>
        <w:spacing w:line="400" w:lineRule="exact"/>
        <w:jc w:val="left"/>
        <w:textAlignment w:val="baseline"/>
        <w:rPr>
          <w:rFonts w:ascii="宋体" w:hAnsi="宋体" w:eastAsia="宋体"/>
          <w:bCs/>
          <w:sz w:val="28"/>
          <w:szCs w:val="28"/>
        </w:rPr>
      </w:pPr>
      <w:r>
        <w:rPr>
          <w:rFonts w:hint="eastAsia" w:ascii="宋体" w:hAnsi="宋体" w:eastAsia="宋体"/>
          <w:bCs/>
          <w:sz w:val="28"/>
          <w:szCs w:val="28"/>
        </w:rPr>
        <w:t>退役大学生士兵：</w:t>
      </w:r>
    </w:p>
    <w:p>
      <w:pPr>
        <w:widowControl/>
        <w:jc w:val="left"/>
        <w:textAlignment w:val="baseline"/>
        <w:rPr>
          <w:rFonts w:ascii="宋体" w:hAnsi="宋体" w:eastAsia="宋体" w:cs="宋体"/>
          <w:kern w:val="0"/>
          <w:sz w:val="24"/>
          <w:szCs w:val="24"/>
        </w:rPr>
      </w:pPr>
      <w:r>
        <w:rPr>
          <w:rFonts w:hint="eastAsia" w:ascii="宋体" w:hAnsi="宋体" w:eastAsia="宋体" w:cs="宋体"/>
          <w:kern w:val="0"/>
          <w:sz w:val="24"/>
          <w:szCs w:val="24"/>
        </w:rPr>
        <w:t>考生结合自己专科专业及职业规划自行选择报考专业。</w:t>
      </w:r>
    </w:p>
    <w:p>
      <w:pPr>
        <w:widowControl/>
        <w:jc w:val="left"/>
        <w:textAlignment w:val="baseline"/>
        <w:rPr>
          <w:rFonts w:ascii="仿宋_GB2312" w:hAnsi="仿宋" w:eastAsia="仿宋_GB2312"/>
          <w:color w:val="000000"/>
          <w:sz w:val="32"/>
          <w:szCs w:val="32"/>
        </w:rPr>
      </w:pPr>
      <w:r>
        <w:rPr>
          <w:rFonts w:ascii="仿宋_GB2312" w:hAnsi="仿宋" w:eastAsia="仿宋_GB2312"/>
          <w:color w:val="000000"/>
          <w:sz w:val="32"/>
          <w:szCs w:val="32"/>
        </w:rPr>
        <w:br w:type="page"/>
      </w:r>
    </w:p>
    <w:p>
      <w:pPr>
        <w:spacing w:line="400" w:lineRule="exact"/>
        <w:jc w:val="left"/>
        <w:textAlignment w:val="baseline"/>
        <w:rPr>
          <w:rFonts w:ascii="黑体" w:hAnsi="黑体" w:eastAsia="黑体"/>
          <w:sz w:val="32"/>
        </w:rPr>
      </w:pPr>
      <w:r>
        <w:rPr>
          <w:rFonts w:hint="eastAsia" w:ascii="黑体" w:hAnsi="黑体" w:eastAsia="黑体"/>
          <w:sz w:val="32"/>
        </w:rPr>
        <w:t>附件</w:t>
      </w:r>
      <w:r>
        <w:rPr>
          <w:rFonts w:ascii="黑体" w:hAnsi="黑体" w:eastAsia="黑体"/>
          <w:sz w:val="32"/>
        </w:rPr>
        <w:t>2</w:t>
      </w:r>
    </w:p>
    <w:p>
      <w:pPr>
        <w:spacing w:line="520" w:lineRule="exact"/>
        <w:jc w:val="center"/>
        <w:textAlignment w:val="baseline"/>
        <w:rPr>
          <w:rFonts w:ascii="方正小标宋简体" w:hAnsi="宋体" w:eastAsia="方正小标宋简体"/>
          <w:sz w:val="32"/>
        </w:rPr>
      </w:pPr>
      <w:r>
        <w:rPr>
          <w:rFonts w:ascii="方正小标宋简体" w:hAnsi="宋体" w:eastAsia="方正小标宋简体"/>
          <w:sz w:val="32"/>
        </w:rPr>
        <w:t>2022</w:t>
      </w:r>
      <w:r>
        <w:rPr>
          <w:rFonts w:hint="eastAsia" w:ascii="方正小标宋简体" w:hAnsi="宋体" w:eastAsia="方正小标宋简体"/>
          <w:sz w:val="32"/>
        </w:rPr>
        <w:t>年普通专升本各专业考试科目（普通考生）</w:t>
      </w:r>
    </w:p>
    <w:tbl>
      <w:tblPr>
        <w:tblStyle w:val="3"/>
        <w:tblW w:w="8784" w:type="dxa"/>
        <w:jc w:val="center"/>
        <w:tblLayout w:type="autofit"/>
        <w:tblCellMar>
          <w:top w:w="0" w:type="dxa"/>
          <w:left w:w="108" w:type="dxa"/>
          <w:bottom w:w="0" w:type="dxa"/>
          <w:right w:w="108" w:type="dxa"/>
        </w:tblCellMar>
      </w:tblPr>
      <w:tblGrid>
        <w:gridCol w:w="1882"/>
        <w:gridCol w:w="1374"/>
        <w:gridCol w:w="1134"/>
        <w:gridCol w:w="4394"/>
      </w:tblGrid>
      <w:tr>
        <w:tblPrEx>
          <w:tblCellMar>
            <w:top w:w="0" w:type="dxa"/>
            <w:left w:w="108" w:type="dxa"/>
            <w:bottom w:w="0" w:type="dxa"/>
            <w:right w:w="108" w:type="dxa"/>
          </w:tblCellMar>
        </w:tblPrEx>
        <w:trPr>
          <w:trHeight w:val="358" w:hRule="atLeast"/>
          <w:jc w:val="center"/>
        </w:trPr>
        <w:tc>
          <w:tcPr>
            <w:tcW w:w="1882"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baseline"/>
              <w:rPr>
                <w:rFonts w:ascii="宋体" w:hAnsi="宋体" w:eastAsia="宋体" w:cs="宋体"/>
                <w:b/>
                <w:kern w:val="0"/>
                <w:sz w:val="24"/>
                <w:szCs w:val="24"/>
              </w:rPr>
            </w:pPr>
            <w:r>
              <w:rPr>
                <w:rFonts w:hint="eastAsia" w:ascii="宋体" w:hAnsi="宋体" w:eastAsia="宋体" w:cs="宋体"/>
                <w:b/>
                <w:kern w:val="0"/>
                <w:sz w:val="24"/>
                <w:szCs w:val="24"/>
              </w:rPr>
              <w:t>招生专业</w:t>
            </w:r>
          </w:p>
        </w:tc>
        <w:tc>
          <w:tcPr>
            <w:tcW w:w="1374"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baseline"/>
              <w:rPr>
                <w:rFonts w:ascii="宋体" w:hAnsi="宋体" w:eastAsia="宋体" w:cs="宋体"/>
                <w:b/>
                <w:kern w:val="0"/>
                <w:sz w:val="24"/>
                <w:szCs w:val="24"/>
              </w:rPr>
            </w:pPr>
            <w:r>
              <w:rPr>
                <w:rFonts w:hint="eastAsia" w:ascii="宋体" w:hAnsi="宋体" w:eastAsia="宋体" w:cs="宋体"/>
                <w:b/>
                <w:kern w:val="0"/>
                <w:sz w:val="24"/>
                <w:szCs w:val="24"/>
              </w:rPr>
              <w:t>专业代码</w:t>
            </w:r>
          </w:p>
        </w:tc>
        <w:tc>
          <w:tcPr>
            <w:tcW w:w="552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textAlignment w:val="baseline"/>
              <w:rPr>
                <w:rFonts w:ascii="宋体" w:hAnsi="宋体" w:eastAsia="宋体" w:cs="宋体"/>
                <w:b/>
                <w:kern w:val="0"/>
                <w:sz w:val="24"/>
                <w:szCs w:val="24"/>
              </w:rPr>
            </w:pPr>
            <w:r>
              <w:rPr>
                <w:rFonts w:hint="eastAsia" w:ascii="宋体" w:hAnsi="宋体" w:eastAsia="宋体" w:cs="宋体"/>
                <w:b/>
                <w:kern w:val="0"/>
                <w:sz w:val="24"/>
                <w:szCs w:val="24"/>
              </w:rPr>
              <w:t>考试科目</w:t>
            </w:r>
          </w:p>
        </w:tc>
      </w:tr>
      <w:tr>
        <w:tblPrEx>
          <w:tblCellMar>
            <w:top w:w="0" w:type="dxa"/>
            <w:left w:w="108" w:type="dxa"/>
            <w:bottom w:w="0" w:type="dxa"/>
            <w:right w:w="108" w:type="dxa"/>
          </w:tblCellMar>
        </w:tblPrEx>
        <w:trPr>
          <w:trHeight w:val="420" w:hRule="atLeast"/>
          <w:jc w:val="center"/>
        </w:trPr>
        <w:tc>
          <w:tcPr>
            <w:tcW w:w="1882"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baseline"/>
              <w:rPr>
                <w:rFonts w:ascii="宋体" w:hAnsi="宋体" w:eastAsia="宋体" w:cs="宋体"/>
                <w:kern w:val="0"/>
                <w:sz w:val="24"/>
                <w:szCs w:val="24"/>
              </w:rPr>
            </w:pPr>
          </w:p>
        </w:tc>
        <w:tc>
          <w:tcPr>
            <w:tcW w:w="1374" w:type="dxa"/>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baseline"/>
              <w:rPr>
                <w:rFonts w:ascii="宋体" w:hAnsi="宋体" w:eastAsia="宋体" w:cs="宋体"/>
                <w:kern w:val="0"/>
                <w:sz w:val="24"/>
                <w:szCs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公共课</w:t>
            </w:r>
          </w:p>
        </w:tc>
        <w:tc>
          <w:tcPr>
            <w:tcW w:w="4394" w:type="dxa"/>
            <w:tcBorders>
              <w:top w:val="single" w:color="auto" w:sz="4" w:space="0"/>
              <w:left w:val="nil"/>
              <w:bottom w:val="single" w:color="auto" w:sz="4" w:space="0"/>
              <w:right w:val="single" w:color="auto" w:sz="4" w:space="0"/>
            </w:tcBorders>
            <w:vAlign w:val="center"/>
          </w:tcPr>
          <w:p>
            <w:pPr>
              <w:widowControl/>
              <w:jc w:val="center"/>
              <w:textAlignment w:val="baseline"/>
              <w:rPr>
                <w:rFonts w:ascii="宋体" w:hAnsi="宋体" w:eastAsia="宋体" w:cs="宋体"/>
                <w:color w:val="000000"/>
                <w:kern w:val="0"/>
                <w:sz w:val="24"/>
                <w:szCs w:val="24"/>
              </w:rPr>
            </w:pPr>
            <w:r>
              <w:rPr>
                <w:rFonts w:hint="eastAsia" w:ascii="宋体" w:hAnsi="宋体" w:eastAsia="宋体" w:cs="宋体"/>
                <w:color w:val="000000"/>
                <w:kern w:val="0"/>
                <w:sz w:val="24"/>
                <w:szCs w:val="24"/>
              </w:rPr>
              <w:t>专业课</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生物工程</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83001</w:t>
            </w:r>
          </w:p>
        </w:tc>
        <w:tc>
          <w:tcPr>
            <w:tcW w:w="1134" w:type="dxa"/>
            <w:vMerge w:val="restart"/>
            <w:tcBorders>
              <w:top w:val="nil"/>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英语</w:t>
            </w: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生物学基础综合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（微生物学、生物化学）</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制药工程</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81302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制药工程基础综合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（药剂学、药物分析）</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中药学</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100801</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中药学基础综合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（药用植物学、生药学）</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药学</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100701</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药学基础综合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（药理学、药事管理学）</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财务管理</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120204</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财务基础综合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（基础会计、财务管理）</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市场营销</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120202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营销基础综合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（市场营销、管理学）</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文化产业管理</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120210</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文化产业管理基础综合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（管理学原理、大学语文）</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机械设计制造及其自动化</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80202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机械设计基础综合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（工程力学、机械设计基础）</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土木工程</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81001</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spacing w:line="300" w:lineRule="exact"/>
              <w:jc w:val="center"/>
              <w:textAlignment w:val="baseline"/>
              <w:rPr>
                <w:rFonts w:ascii="宋体" w:hAnsi="宋体" w:eastAsia="宋体"/>
                <w:sz w:val="20"/>
              </w:rPr>
            </w:pPr>
            <w:r>
              <w:rPr>
                <w:rFonts w:hint="eastAsia" w:ascii="宋体" w:hAnsi="宋体" w:eastAsia="宋体" w:cs="宋体"/>
              </w:rPr>
              <w:t>土木工程基础综合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rPr>
              <w:t>（建筑材料、建筑施工技术）</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工程造价</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120105</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spacing w:line="300" w:lineRule="exact"/>
              <w:jc w:val="center"/>
              <w:textAlignment w:val="baseline"/>
              <w:rPr>
                <w:rFonts w:ascii="宋体" w:hAnsi="宋体" w:eastAsia="宋体"/>
                <w:sz w:val="20"/>
              </w:rPr>
            </w:pPr>
            <w:r>
              <w:rPr>
                <w:rFonts w:hint="eastAsia" w:ascii="宋体" w:hAnsi="宋体" w:eastAsia="宋体" w:cs="宋体"/>
              </w:rPr>
              <w:t>工程造价基础综合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rPr>
              <w:t>（房屋构造、建筑制图）</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食品科学与工程</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82701</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食品科学与工程基础综合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（食品化学、食品分析）</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园林</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90502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园林基础综合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（园林树木学、园林设计）</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textAlignment w:val="baseline"/>
              <w:rPr>
                <w:rFonts w:ascii="宋体" w:hAnsi="宋体" w:eastAsia="宋体" w:cs="宋体"/>
                <w:kern w:val="0"/>
                <w:sz w:val="20"/>
                <w:szCs w:val="21"/>
              </w:rPr>
            </w:pPr>
            <w:r>
              <w:rPr>
                <w:rFonts w:hint="eastAsia" w:ascii="宋体" w:hAnsi="宋体" w:eastAsia="宋体" w:cs="宋体"/>
                <w:kern w:val="0"/>
                <w:szCs w:val="21"/>
              </w:rPr>
              <w:t xml:space="preserve">      园艺</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090102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园艺</w:t>
            </w:r>
            <w:r>
              <w:rPr>
                <w:rFonts w:ascii="宋体" w:hAnsi="宋体" w:eastAsia="宋体" w:cs="宋体"/>
                <w:kern w:val="0"/>
                <w:szCs w:val="21"/>
              </w:rPr>
              <w:t>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w:t>
            </w:r>
            <w:r>
              <w:rPr>
                <w:rFonts w:ascii="宋体" w:hAnsi="宋体" w:eastAsia="宋体" w:cs="宋体"/>
                <w:kern w:val="0"/>
                <w:szCs w:val="21"/>
              </w:rPr>
              <w:t>花卉</w:t>
            </w:r>
            <w:r>
              <w:rPr>
                <w:rFonts w:hint="eastAsia" w:ascii="宋体" w:hAnsi="宋体" w:eastAsia="宋体" w:cs="宋体"/>
                <w:kern w:val="0"/>
                <w:szCs w:val="21"/>
              </w:rPr>
              <w:t>、</w:t>
            </w:r>
            <w:r>
              <w:rPr>
                <w:rFonts w:ascii="宋体" w:hAnsi="宋体" w:eastAsia="宋体" w:cs="宋体"/>
                <w:kern w:val="0"/>
                <w:szCs w:val="21"/>
              </w:rPr>
              <w:t>蔬果栽培</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176" w:hRule="atLeast"/>
          <w:jc w:val="center"/>
        </w:trPr>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环境工程</w:t>
            </w:r>
          </w:p>
        </w:tc>
        <w:tc>
          <w:tcPr>
            <w:tcW w:w="137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82502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环境工程基础综合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（水污染控制工程、环境监测）</w:t>
            </w:r>
          </w:p>
        </w:tc>
      </w:tr>
      <w:tr>
        <w:tblPrEx>
          <w:tblCellMar>
            <w:top w:w="0" w:type="dxa"/>
            <w:left w:w="108" w:type="dxa"/>
            <w:bottom w:w="0" w:type="dxa"/>
            <w:right w:w="108" w:type="dxa"/>
          </w:tblCellMar>
        </w:tblPrEx>
        <w:trPr>
          <w:trHeight w:val="176" w:hRule="atLeast"/>
          <w:jc w:val="center"/>
        </w:trPr>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计算机科学与技术</w:t>
            </w: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80901</w:t>
            </w:r>
          </w:p>
        </w:tc>
        <w:tc>
          <w:tcPr>
            <w:tcW w:w="1134" w:type="dxa"/>
            <w:vMerge w:val="continue"/>
            <w:tcBorders>
              <w:left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计算机科学与技术基础综合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（数据库系统概论（MySQL）、计算机基础）</w:t>
            </w:r>
          </w:p>
        </w:tc>
      </w:tr>
      <w:tr>
        <w:tblPrEx>
          <w:tblCellMar>
            <w:top w:w="0" w:type="dxa"/>
            <w:left w:w="108" w:type="dxa"/>
            <w:bottom w:w="0" w:type="dxa"/>
            <w:right w:w="108" w:type="dxa"/>
          </w:tblCellMar>
        </w:tblPrEx>
        <w:trPr>
          <w:trHeight w:val="176" w:hRule="atLeast"/>
          <w:jc w:val="center"/>
        </w:trPr>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信息管理与信息系统</w:t>
            </w:r>
          </w:p>
        </w:tc>
        <w:tc>
          <w:tcPr>
            <w:tcW w:w="13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120102</w:t>
            </w:r>
          </w:p>
        </w:tc>
        <w:tc>
          <w:tcPr>
            <w:tcW w:w="1134" w:type="dxa"/>
            <w:vMerge w:val="continue"/>
            <w:tcBorders>
              <w:left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信息管理与信息系统基础综合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（数据库系统概论(Access)、计算机基础）</w:t>
            </w:r>
          </w:p>
        </w:tc>
      </w:tr>
      <w:tr>
        <w:tblPrEx>
          <w:tblCellMar>
            <w:top w:w="0" w:type="dxa"/>
            <w:left w:w="108" w:type="dxa"/>
            <w:bottom w:w="0" w:type="dxa"/>
            <w:right w:w="108" w:type="dxa"/>
          </w:tblCellMar>
        </w:tblPrEx>
        <w:trPr>
          <w:trHeight w:val="176" w:hRule="atLeast"/>
          <w:jc w:val="center"/>
        </w:trPr>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环境设计</w:t>
            </w:r>
          </w:p>
        </w:tc>
        <w:tc>
          <w:tcPr>
            <w:tcW w:w="137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130503</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single" w:color="auto" w:sz="4" w:space="0"/>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室内手绘快题设计</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（设计知识综合应用）</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视觉传达设计</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ascii="宋体" w:hAnsi="宋体" w:eastAsia="宋体" w:cs="宋体"/>
                <w:kern w:val="0"/>
                <w:szCs w:val="21"/>
              </w:rPr>
              <w:t>130502</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平面手绘快题设计</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（设计知识综合应用）</w:t>
            </w:r>
          </w:p>
        </w:tc>
      </w:tr>
      <w:tr>
        <w:tblPrEx>
          <w:tblCellMar>
            <w:top w:w="0" w:type="dxa"/>
            <w:left w:w="108" w:type="dxa"/>
            <w:bottom w:w="0" w:type="dxa"/>
            <w:right w:w="108" w:type="dxa"/>
          </w:tblCellMar>
        </w:tblPrEx>
        <w:trPr>
          <w:trHeight w:val="176"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社会体育指导与管理</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40203</w:t>
            </w:r>
          </w:p>
        </w:tc>
        <w:tc>
          <w:tcPr>
            <w:tcW w:w="1134" w:type="dxa"/>
            <w:vMerge w:val="continue"/>
            <w:tcBorders>
              <w:left w:val="nil"/>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体育基础综合</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（运动解剖学、运动生理学）</w:t>
            </w:r>
          </w:p>
        </w:tc>
      </w:tr>
      <w:tr>
        <w:tblPrEx>
          <w:tblCellMar>
            <w:top w:w="0" w:type="dxa"/>
            <w:left w:w="108" w:type="dxa"/>
            <w:bottom w:w="0" w:type="dxa"/>
            <w:right w:w="108" w:type="dxa"/>
          </w:tblCellMar>
        </w:tblPrEx>
        <w:trPr>
          <w:trHeight w:val="622" w:hRule="atLeast"/>
          <w:jc w:val="center"/>
        </w:trPr>
        <w:tc>
          <w:tcPr>
            <w:tcW w:w="1882"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英语</w:t>
            </w:r>
          </w:p>
        </w:tc>
        <w:tc>
          <w:tcPr>
            <w:tcW w:w="1374" w:type="dxa"/>
            <w:tcBorders>
              <w:top w:val="nil"/>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0</w:t>
            </w:r>
            <w:r>
              <w:rPr>
                <w:rFonts w:ascii="宋体" w:hAnsi="宋体" w:eastAsia="宋体" w:cs="宋体"/>
                <w:kern w:val="0"/>
                <w:szCs w:val="21"/>
              </w:rPr>
              <w:t>50201</w:t>
            </w:r>
          </w:p>
        </w:tc>
        <w:tc>
          <w:tcPr>
            <w:tcW w:w="1134" w:type="dxa"/>
            <w:vMerge w:val="continue"/>
            <w:tcBorders>
              <w:left w:val="nil"/>
              <w:bottom w:val="single" w:color="auto" w:sz="4" w:space="0"/>
              <w:right w:val="single" w:color="auto" w:sz="4" w:space="0"/>
            </w:tcBorders>
            <w:shd w:val="clear" w:color="auto" w:fill="auto"/>
            <w:vAlign w:val="center"/>
          </w:tcPr>
          <w:p>
            <w:pPr>
              <w:widowControl/>
              <w:spacing w:line="300" w:lineRule="exact"/>
              <w:jc w:val="center"/>
              <w:textAlignment w:val="baseline"/>
              <w:rPr>
                <w:rFonts w:ascii="宋体" w:hAnsi="宋体" w:eastAsia="宋体" w:cs="宋体"/>
                <w:kern w:val="0"/>
                <w:sz w:val="20"/>
                <w:szCs w:val="21"/>
              </w:rPr>
            </w:pPr>
          </w:p>
        </w:tc>
        <w:tc>
          <w:tcPr>
            <w:tcW w:w="4394" w:type="dxa"/>
            <w:tcBorders>
              <w:top w:val="nil"/>
              <w:left w:val="nil"/>
              <w:bottom w:val="single" w:color="auto" w:sz="4" w:space="0"/>
              <w:right w:val="single" w:color="auto" w:sz="4" w:space="0"/>
            </w:tcBorders>
            <w:vAlign w:val="center"/>
          </w:tcPr>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 xml:space="preserve">英语基础综合 </w:t>
            </w:r>
          </w:p>
          <w:p>
            <w:pPr>
              <w:widowControl/>
              <w:spacing w:line="300" w:lineRule="exact"/>
              <w:jc w:val="center"/>
              <w:textAlignment w:val="baseline"/>
              <w:rPr>
                <w:rFonts w:ascii="宋体" w:hAnsi="宋体" w:eastAsia="宋体" w:cs="宋体"/>
                <w:kern w:val="0"/>
                <w:sz w:val="20"/>
                <w:szCs w:val="21"/>
              </w:rPr>
            </w:pPr>
            <w:r>
              <w:rPr>
                <w:rFonts w:hint="eastAsia" w:ascii="宋体" w:hAnsi="宋体" w:eastAsia="宋体" w:cs="宋体"/>
                <w:kern w:val="0"/>
                <w:szCs w:val="21"/>
              </w:rPr>
              <w:t>（</w:t>
            </w:r>
            <w:r>
              <w:rPr>
                <w:rFonts w:hint="eastAsia" w:ascii="宋体" w:hAnsi="宋体" w:eastAsia="宋体"/>
              </w:rPr>
              <w:t>综合英语、语法）</w:t>
            </w:r>
          </w:p>
        </w:tc>
      </w:tr>
    </w:tbl>
    <w:p>
      <w:pPr>
        <w:spacing w:line="400" w:lineRule="exact"/>
        <w:jc w:val="left"/>
        <w:textAlignment w:val="baseline"/>
        <w:rPr>
          <w:rFonts w:ascii="黑体" w:hAnsi="黑体" w:eastAsia="黑体"/>
          <w:sz w:val="32"/>
        </w:rPr>
      </w:pPr>
      <w:r>
        <w:rPr>
          <w:rFonts w:hint="eastAsia" w:ascii="黑体" w:hAnsi="黑体" w:eastAsia="黑体"/>
          <w:sz w:val="32"/>
        </w:rPr>
        <w:t>附件</w:t>
      </w:r>
      <w:r>
        <w:rPr>
          <w:rFonts w:ascii="黑体" w:hAnsi="黑体" w:eastAsia="黑体"/>
          <w:sz w:val="32"/>
        </w:rPr>
        <w:t>3</w:t>
      </w:r>
    </w:p>
    <w:p>
      <w:pPr>
        <w:spacing w:line="520" w:lineRule="exact"/>
        <w:jc w:val="center"/>
        <w:textAlignment w:val="baseline"/>
        <w:rPr>
          <w:rFonts w:ascii="方正小标宋简体" w:hAnsi="宋体" w:eastAsia="方正小标宋简体"/>
          <w:sz w:val="32"/>
        </w:rPr>
      </w:pPr>
      <w:r>
        <w:rPr>
          <w:rFonts w:ascii="方正小标宋简体" w:hAnsi="宋体" w:eastAsia="方正小标宋简体"/>
          <w:sz w:val="32"/>
        </w:rPr>
        <w:t>2022</w:t>
      </w:r>
      <w:r>
        <w:rPr>
          <w:rFonts w:hint="eastAsia" w:ascii="方正小标宋简体" w:hAnsi="宋体" w:eastAsia="方正小标宋简体"/>
          <w:sz w:val="32"/>
        </w:rPr>
        <w:t>年普通专升本考试各专业参考教材（普通考生）</w:t>
      </w:r>
    </w:p>
    <w:tbl>
      <w:tblPr>
        <w:tblStyle w:val="3"/>
        <w:tblW w:w="9217" w:type="dxa"/>
        <w:jc w:val="center"/>
        <w:tblLayout w:type="fixed"/>
        <w:tblCellMar>
          <w:top w:w="0" w:type="dxa"/>
          <w:left w:w="0" w:type="dxa"/>
          <w:bottom w:w="0" w:type="dxa"/>
          <w:right w:w="0" w:type="dxa"/>
        </w:tblCellMar>
      </w:tblPr>
      <w:tblGrid>
        <w:gridCol w:w="2830"/>
        <w:gridCol w:w="6387"/>
      </w:tblGrid>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ind w:left="2650" w:hanging="2650"/>
              <w:jc w:val="center"/>
              <w:textAlignment w:val="baseline"/>
              <w:rPr>
                <w:rFonts w:ascii="宋体" w:hAnsi="宋体" w:eastAsia="宋体"/>
                <w:bCs/>
                <w:sz w:val="24"/>
                <w:szCs w:val="24"/>
              </w:rPr>
            </w:pPr>
            <w:r>
              <w:rPr>
                <w:rFonts w:hint="eastAsia" w:ascii="宋体" w:hAnsi="宋体" w:eastAsia="宋体" w:cs="宋体"/>
                <w:bCs/>
                <w:sz w:val="24"/>
                <w:szCs w:val="24"/>
              </w:rPr>
              <w:t>科目</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jc w:val="center"/>
              <w:textAlignment w:val="baseline"/>
              <w:rPr>
                <w:rFonts w:ascii="宋体" w:hAnsi="宋体" w:eastAsia="宋体"/>
                <w:bCs/>
                <w:sz w:val="24"/>
                <w:szCs w:val="24"/>
              </w:rPr>
            </w:pPr>
            <w:r>
              <w:rPr>
                <w:rFonts w:hint="eastAsia" w:ascii="宋体" w:hAnsi="宋体" w:eastAsia="宋体" w:cs="宋体"/>
                <w:bCs/>
                <w:sz w:val="24"/>
                <w:szCs w:val="24"/>
              </w:rPr>
              <w:t>参考教材</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英语（公共课）</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w:t>
            </w:r>
            <w:r>
              <w:rPr>
                <w:rFonts w:ascii="宋体" w:hAnsi="宋体" w:eastAsia="宋体"/>
              </w:rPr>
              <w:t>2022</w:t>
            </w:r>
            <w:r>
              <w:rPr>
                <w:rFonts w:hint="eastAsia" w:ascii="宋体" w:hAnsi="宋体" w:eastAsia="宋体" w:cs="宋体"/>
              </w:rPr>
              <w:t>年普通专升本</w:t>
            </w:r>
            <w:r>
              <w:rPr>
                <w:rFonts w:ascii="宋体" w:hAnsi="宋体" w:eastAsia="宋体"/>
              </w:rPr>
              <w:t>&lt;</w:t>
            </w:r>
            <w:r>
              <w:rPr>
                <w:rFonts w:hint="eastAsia" w:ascii="宋体" w:hAnsi="宋体" w:eastAsia="宋体" w:cs="宋体"/>
              </w:rPr>
              <w:t>大学英语</w:t>
            </w:r>
            <w:r>
              <w:rPr>
                <w:rFonts w:ascii="宋体" w:hAnsi="宋体" w:eastAsia="宋体"/>
              </w:rPr>
              <w:t>&gt;</w:t>
            </w:r>
            <w:r>
              <w:rPr>
                <w:rFonts w:hint="eastAsia" w:ascii="宋体" w:hAnsi="宋体" w:eastAsia="宋体" w:cs="宋体"/>
              </w:rPr>
              <w:t>考试大纲》（附件</w:t>
            </w:r>
            <w:r>
              <w:rPr>
                <w:rFonts w:ascii="宋体" w:hAnsi="宋体" w:eastAsia="宋体"/>
              </w:rPr>
              <w:t>4</w:t>
            </w:r>
            <w:r>
              <w:rPr>
                <w:rFonts w:hint="eastAsia" w:ascii="宋体" w:hAnsi="宋体" w:eastAsia="宋体" w:cs="宋体"/>
              </w:rPr>
              <w:t>）</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生物学基础综合</w:t>
            </w:r>
          </w:p>
          <w:p>
            <w:pPr>
              <w:spacing w:line="400" w:lineRule="exact"/>
              <w:jc w:val="center"/>
              <w:textAlignment w:val="baseline"/>
              <w:rPr>
                <w:rFonts w:ascii="宋体" w:hAnsi="宋体" w:eastAsia="宋体"/>
                <w:sz w:val="20"/>
              </w:rPr>
            </w:pPr>
            <w:r>
              <w:rPr>
                <w:rFonts w:hint="eastAsia" w:ascii="宋体" w:hAnsi="宋体" w:eastAsia="宋体" w:cs="宋体"/>
              </w:rPr>
              <w:t>（微生物学、生物化学）</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《微生物学》（第一版），关统伟主编，中国轻工业出版社，</w:t>
            </w:r>
          </w:p>
          <w:p>
            <w:pPr>
              <w:snapToGrid w:val="0"/>
              <w:spacing w:line="240" w:lineRule="atLeast"/>
              <w:jc w:val="left"/>
              <w:textAlignment w:val="baseline"/>
              <w:rPr>
                <w:rFonts w:ascii="宋体" w:hAnsi="宋体" w:eastAsia="宋体"/>
                <w:sz w:val="20"/>
              </w:rPr>
            </w:pPr>
            <w:r>
              <w:rPr>
                <w:rFonts w:hint="eastAsia" w:ascii="宋体" w:hAnsi="宋体" w:eastAsia="宋体"/>
              </w:rPr>
              <w:t>ISBN：9787518420476</w:t>
            </w:r>
          </w:p>
          <w:p>
            <w:pPr>
              <w:snapToGrid w:val="0"/>
              <w:spacing w:line="240" w:lineRule="atLeast"/>
              <w:jc w:val="left"/>
              <w:textAlignment w:val="baseline"/>
              <w:rPr>
                <w:rFonts w:ascii="宋体" w:hAnsi="宋体" w:eastAsia="宋体"/>
                <w:sz w:val="20"/>
              </w:rPr>
            </w:pPr>
            <w:r>
              <w:rPr>
                <w:rFonts w:hint="eastAsia" w:ascii="宋体" w:hAnsi="宋体" w:eastAsia="宋体"/>
              </w:rPr>
              <w:t>或《微生物学教程》（2011年4月第3版），周德庆主编，高等教育出版社，ISBN：9787040314045</w:t>
            </w:r>
          </w:p>
          <w:p>
            <w:pPr>
              <w:snapToGrid w:val="0"/>
              <w:spacing w:line="240" w:lineRule="atLeast"/>
              <w:jc w:val="left"/>
              <w:textAlignment w:val="baseline"/>
              <w:rPr>
                <w:rFonts w:ascii="宋体" w:hAnsi="宋体" w:eastAsia="宋体"/>
                <w:sz w:val="20"/>
              </w:rPr>
            </w:pPr>
            <w:r>
              <w:rPr>
                <w:rFonts w:hint="eastAsia" w:ascii="宋体" w:hAnsi="宋体" w:eastAsia="宋体"/>
              </w:rPr>
              <w:t>《生物化学简明教程》（2015年8月第五版），张丽萍等主编，高等教育出版社，ISBN：9787040433111</w:t>
            </w:r>
          </w:p>
          <w:p>
            <w:pPr>
              <w:snapToGrid w:val="0"/>
              <w:spacing w:line="240" w:lineRule="atLeast"/>
              <w:jc w:val="left"/>
              <w:textAlignment w:val="baseline"/>
              <w:rPr>
                <w:rFonts w:ascii="宋体" w:hAnsi="宋体" w:eastAsia="宋体"/>
                <w:sz w:val="20"/>
              </w:rPr>
            </w:pPr>
            <w:r>
              <w:rPr>
                <w:rFonts w:hint="eastAsia" w:ascii="宋体" w:hAnsi="宋体" w:eastAsia="宋体"/>
              </w:rPr>
              <w:t>或</w:t>
            </w:r>
            <w:r>
              <w:rPr>
                <w:rFonts w:ascii="宋体" w:hAnsi="宋体" w:eastAsia="宋体"/>
              </w:rPr>
              <w:t>《</w:t>
            </w:r>
            <w:r>
              <w:rPr>
                <w:rFonts w:hint="eastAsia" w:ascii="宋体" w:hAnsi="宋体" w:eastAsia="宋体"/>
              </w:rPr>
              <w:t>生物</w:t>
            </w:r>
            <w:r>
              <w:rPr>
                <w:rFonts w:ascii="宋体" w:hAnsi="宋体" w:eastAsia="宋体"/>
              </w:rPr>
              <w:t>化学》</w:t>
            </w:r>
            <w:r>
              <w:rPr>
                <w:rFonts w:hint="eastAsia" w:ascii="宋体" w:hAnsi="宋体" w:eastAsia="宋体"/>
              </w:rPr>
              <w:t>（2</w:t>
            </w:r>
            <w:r>
              <w:rPr>
                <w:rFonts w:ascii="宋体" w:hAnsi="宋体" w:eastAsia="宋体"/>
              </w:rPr>
              <w:t>021</w:t>
            </w:r>
            <w:r>
              <w:rPr>
                <w:rFonts w:hint="eastAsia" w:ascii="宋体" w:hAnsi="宋体" w:eastAsia="宋体"/>
              </w:rPr>
              <w:t>年1月第2版），</w:t>
            </w:r>
            <w:r>
              <w:rPr>
                <w:rFonts w:ascii="宋体" w:hAnsi="宋体" w:eastAsia="宋体"/>
              </w:rPr>
              <w:t>解军</w:t>
            </w:r>
            <w:r>
              <w:rPr>
                <w:rFonts w:hint="eastAsia" w:ascii="宋体" w:hAnsi="宋体" w:eastAsia="宋体"/>
              </w:rPr>
              <w:t>主编</w:t>
            </w:r>
            <w:r>
              <w:rPr>
                <w:rFonts w:ascii="宋体" w:hAnsi="宋体" w:eastAsia="宋体"/>
              </w:rPr>
              <w:t>，高等教育出版社，</w:t>
            </w:r>
            <w:r>
              <w:rPr>
                <w:rFonts w:hint="eastAsia" w:ascii="宋体" w:hAnsi="宋体" w:eastAsia="宋体"/>
              </w:rPr>
              <w:t>ISBN：</w:t>
            </w:r>
            <w:r>
              <w:rPr>
                <w:rFonts w:ascii="宋体" w:hAnsi="宋体" w:eastAsia="宋体"/>
              </w:rPr>
              <w:t>9787562290445</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制药工程基础综合</w:t>
            </w:r>
          </w:p>
          <w:p>
            <w:pPr>
              <w:spacing w:line="400" w:lineRule="exact"/>
              <w:jc w:val="center"/>
              <w:textAlignment w:val="baseline"/>
              <w:rPr>
                <w:rFonts w:ascii="宋体" w:hAnsi="宋体" w:eastAsia="宋体"/>
                <w:sz w:val="20"/>
              </w:rPr>
            </w:pPr>
            <w:r>
              <w:rPr>
                <w:rFonts w:hint="eastAsia" w:ascii="宋体" w:hAnsi="宋体" w:eastAsia="宋体" w:cs="宋体"/>
              </w:rPr>
              <w:t>（药剂学、药物分析）</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《药剂学》，龙晓英，科学出版社，</w:t>
            </w:r>
            <w:r>
              <w:rPr>
                <w:rFonts w:ascii="宋体" w:hAnsi="宋体" w:eastAsia="宋体"/>
              </w:rPr>
              <w:t>2016</w:t>
            </w:r>
            <w:r>
              <w:rPr>
                <w:rFonts w:hint="eastAsia" w:ascii="宋体" w:hAnsi="宋体" w:eastAsia="宋体" w:cs="宋体"/>
              </w:rPr>
              <w:t>年第二版，</w:t>
            </w:r>
            <w:r>
              <w:rPr>
                <w:rFonts w:ascii="宋体" w:hAnsi="宋体" w:eastAsia="宋体"/>
              </w:rPr>
              <w:t>ISBN: 9787030485441</w:t>
            </w:r>
          </w:p>
          <w:p>
            <w:pPr>
              <w:snapToGrid w:val="0"/>
              <w:spacing w:line="240" w:lineRule="atLeast"/>
              <w:jc w:val="left"/>
              <w:textAlignment w:val="baseline"/>
              <w:rPr>
                <w:rFonts w:ascii="宋体" w:hAnsi="宋体" w:eastAsia="宋体"/>
                <w:sz w:val="20"/>
              </w:rPr>
            </w:pPr>
            <w:r>
              <w:rPr>
                <w:rFonts w:hint="eastAsia" w:ascii="宋体" w:hAnsi="宋体" w:eastAsia="宋体" w:cs="宋体"/>
              </w:rPr>
              <w:t>《药物分析》，杭太俊主编，人民卫生出版社，</w:t>
            </w:r>
            <w:r>
              <w:rPr>
                <w:rFonts w:ascii="宋体" w:hAnsi="宋体" w:eastAsia="宋体"/>
              </w:rPr>
              <w:t>2017</w:t>
            </w:r>
            <w:r>
              <w:rPr>
                <w:rFonts w:hint="eastAsia" w:ascii="宋体" w:hAnsi="宋体" w:eastAsia="宋体" w:cs="宋体"/>
              </w:rPr>
              <w:t>年第</w:t>
            </w:r>
            <w:r>
              <w:rPr>
                <w:rFonts w:ascii="宋体" w:hAnsi="宋体" w:eastAsia="宋体"/>
              </w:rPr>
              <w:t>8</w:t>
            </w:r>
            <w:r>
              <w:rPr>
                <w:rFonts w:hint="eastAsia" w:ascii="宋体" w:hAnsi="宋体" w:eastAsia="宋体" w:cs="宋体"/>
              </w:rPr>
              <w:t>版，</w:t>
            </w:r>
          </w:p>
          <w:p>
            <w:pPr>
              <w:snapToGrid w:val="0"/>
              <w:spacing w:line="240" w:lineRule="atLeast"/>
              <w:jc w:val="left"/>
              <w:textAlignment w:val="baseline"/>
              <w:rPr>
                <w:rFonts w:ascii="宋体" w:hAnsi="宋体" w:eastAsia="宋体"/>
                <w:sz w:val="20"/>
              </w:rPr>
            </w:pPr>
            <w:r>
              <w:rPr>
                <w:rFonts w:ascii="宋体" w:hAnsi="宋体" w:eastAsia="宋体"/>
              </w:rPr>
              <w:t>ISBN: 9787117220293</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中药学基础综合</w:t>
            </w:r>
          </w:p>
          <w:p>
            <w:pPr>
              <w:spacing w:line="400" w:lineRule="exact"/>
              <w:jc w:val="center"/>
              <w:textAlignment w:val="baseline"/>
              <w:rPr>
                <w:rFonts w:ascii="宋体" w:hAnsi="宋体" w:eastAsia="宋体"/>
                <w:sz w:val="20"/>
              </w:rPr>
            </w:pPr>
            <w:r>
              <w:rPr>
                <w:rFonts w:hint="eastAsia" w:ascii="宋体" w:hAnsi="宋体" w:eastAsia="宋体" w:cs="宋体"/>
              </w:rPr>
              <w:t>（药用植物学、生药学）</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sz w:val="20"/>
              </w:rPr>
            </w:pPr>
            <w:r>
              <w:rPr>
                <w:rFonts w:hint="eastAsia" w:ascii="宋体" w:hAnsi="宋体" w:eastAsia="宋体" w:cs="宋体"/>
              </w:rPr>
              <w:t>《药用植物学》，黄宝康主编，人民卫生出版社，2016，</w:t>
            </w:r>
          </w:p>
          <w:p>
            <w:pPr>
              <w:snapToGrid w:val="0"/>
              <w:spacing w:line="240" w:lineRule="atLeast"/>
              <w:jc w:val="left"/>
              <w:textAlignment w:val="baseline"/>
              <w:rPr>
                <w:rFonts w:ascii="宋体" w:hAnsi="宋体" w:eastAsia="宋体" w:cs="宋体"/>
                <w:sz w:val="20"/>
              </w:rPr>
            </w:pPr>
            <w:r>
              <w:rPr>
                <w:rFonts w:hint="eastAsia" w:ascii="宋体" w:hAnsi="宋体" w:eastAsia="宋体" w:cs="宋体"/>
              </w:rPr>
              <w:t>ISBN：9787117218740；</w:t>
            </w:r>
          </w:p>
          <w:p>
            <w:pPr>
              <w:snapToGrid w:val="0"/>
              <w:spacing w:line="240" w:lineRule="atLeast"/>
              <w:jc w:val="left"/>
              <w:textAlignment w:val="baseline"/>
              <w:rPr>
                <w:rFonts w:ascii="宋体" w:hAnsi="宋体" w:eastAsia="宋体" w:cs="宋体"/>
                <w:sz w:val="20"/>
              </w:rPr>
            </w:pPr>
            <w:r>
              <w:rPr>
                <w:rFonts w:hint="eastAsia" w:ascii="宋体" w:hAnsi="宋体" w:eastAsia="宋体" w:cs="宋体"/>
              </w:rPr>
              <w:t>《生药学》，蔡少青，秦路平主编，人民卫生出版社，2016，</w:t>
            </w:r>
          </w:p>
          <w:p>
            <w:pPr>
              <w:snapToGrid w:val="0"/>
              <w:spacing w:line="240" w:lineRule="atLeast"/>
              <w:jc w:val="left"/>
              <w:textAlignment w:val="baseline"/>
              <w:rPr>
                <w:rFonts w:ascii="宋体" w:hAnsi="宋体" w:eastAsia="宋体"/>
                <w:sz w:val="20"/>
              </w:rPr>
            </w:pPr>
            <w:r>
              <w:rPr>
                <w:rFonts w:hint="eastAsia" w:ascii="宋体" w:hAnsi="宋体" w:eastAsia="宋体" w:cs="宋体"/>
              </w:rPr>
              <w:t>ISBN：9787117223799</w:t>
            </w:r>
            <w:r>
              <w:rPr>
                <w:rFonts w:ascii="宋体" w:hAnsi="宋体" w:eastAsia="宋体" w:cs="宋体"/>
              </w:rPr>
              <w:t xml:space="preserve"> </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cs="宋体"/>
                <w:sz w:val="20"/>
              </w:rPr>
            </w:pPr>
            <w:r>
              <w:rPr>
                <w:rFonts w:hint="eastAsia" w:ascii="宋体" w:hAnsi="宋体" w:eastAsia="宋体" w:cs="宋体"/>
              </w:rPr>
              <w:t>药学</w:t>
            </w:r>
            <w:r>
              <w:rPr>
                <w:rFonts w:ascii="宋体" w:hAnsi="宋体" w:eastAsia="宋体" w:cs="宋体"/>
              </w:rPr>
              <w:t>基础综合</w:t>
            </w:r>
          </w:p>
          <w:p>
            <w:pPr>
              <w:spacing w:line="400" w:lineRule="exact"/>
              <w:jc w:val="center"/>
              <w:textAlignment w:val="baseline"/>
              <w:rPr>
                <w:rFonts w:ascii="宋体" w:hAnsi="宋体" w:eastAsia="宋体" w:cs="宋体"/>
                <w:sz w:val="20"/>
              </w:rPr>
            </w:pPr>
            <w:r>
              <w:rPr>
                <w:rFonts w:hint="eastAsia" w:ascii="宋体" w:hAnsi="宋体" w:eastAsia="宋体" w:cs="宋体"/>
              </w:rPr>
              <w:t>（药理学</w:t>
            </w:r>
            <w:r>
              <w:rPr>
                <w:rFonts w:ascii="宋体" w:hAnsi="宋体" w:eastAsia="宋体" w:cs="宋体"/>
              </w:rPr>
              <w:t>、药事管理学</w:t>
            </w:r>
            <w:r>
              <w:rPr>
                <w:rFonts w:hint="eastAsia" w:ascii="宋体" w:hAnsi="宋体" w:eastAsia="宋体" w:cs="宋体"/>
              </w:rPr>
              <w:t>）</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《药理学》，吴基良，姚继红主编，科学出版社，2020，</w:t>
            </w:r>
          </w:p>
          <w:p>
            <w:pPr>
              <w:snapToGrid w:val="0"/>
              <w:spacing w:line="240" w:lineRule="atLeast"/>
              <w:jc w:val="left"/>
              <w:textAlignment w:val="baseline"/>
              <w:rPr>
                <w:rFonts w:ascii="宋体" w:hAnsi="宋体" w:eastAsia="宋体"/>
                <w:sz w:val="20"/>
              </w:rPr>
            </w:pPr>
            <w:r>
              <w:rPr>
                <w:rFonts w:ascii="宋体" w:hAnsi="宋体" w:eastAsia="宋体"/>
              </w:rPr>
              <w:t>ISBN: 9787030651808</w:t>
            </w:r>
          </w:p>
          <w:p>
            <w:pPr>
              <w:snapToGrid w:val="0"/>
              <w:spacing w:line="240" w:lineRule="atLeast"/>
              <w:jc w:val="left"/>
              <w:textAlignment w:val="baseline"/>
              <w:rPr>
                <w:rFonts w:ascii="宋体" w:hAnsi="宋体" w:eastAsia="宋体" w:cs="宋体"/>
                <w:sz w:val="20"/>
              </w:rPr>
            </w:pPr>
            <w:r>
              <w:rPr>
                <w:rFonts w:ascii="宋体" w:hAnsi="宋体" w:eastAsia="宋体"/>
              </w:rPr>
              <w:t>《药事管理学》，孙桂芝、罗斌华主编，化学工业出版社，2021，ISBN:9787122389206</w:t>
            </w:r>
          </w:p>
        </w:tc>
      </w:tr>
      <w:tr>
        <w:tblPrEx>
          <w:tblCellMar>
            <w:top w:w="0" w:type="dxa"/>
            <w:left w:w="0" w:type="dxa"/>
            <w:bottom w:w="0" w:type="dxa"/>
            <w:right w:w="0" w:type="dxa"/>
          </w:tblCellMar>
        </w:tblPrEx>
        <w:trPr>
          <w:trHeight w:val="1171"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财务基础综合</w:t>
            </w:r>
          </w:p>
          <w:p>
            <w:pPr>
              <w:spacing w:line="400" w:lineRule="exact"/>
              <w:jc w:val="center"/>
              <w:textAlignment w:val="baseline"/>
              <w:rPr>
                <w:rFonts w:ascii="宋体" w:hAnsi="宋体" w:eastAsia="宋体"/>
                <w:sz w:val="20"/>
              </w:rPr>
            </w:pPr>
            <w:r>
              <w:rPr>
                <w:rFonts w:hint="eastAsia" w:ascii="宋体" w:hAnsi="宋体" w:eastAsia="宋体" w:cs="宋体"/>
              </w:rPr>
              <w:t>（基础会计、财务管理）</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w:t>
            </w:r>
            <w:r>
              <w:rPr>
                <w:rFonts w:ascii="宋体" w:hAnsi="宋体" w:eastAsia="宋体"/>
              </w:rPr>
              <w:t>基础会计</w:t>
            </w:r>
            <w:r>
              <w:rPr>
                <w:rFonts w:hint="eastAsia" w:ascii="宋体" w:hAnsi="宋体" w:eastAsia="宋体"/>
              </w:rPr>
              <w:t>》，</w:t>
            </w:r>
            <w:r>
              <w:rPr>
                <w:rFonts w:ascii="宋体" w:hAnsi="宋体" w:eastAsia="宋体"/>
              </w:rPr>
              <w:t>2020年8月出版，主编：徐哲，ISBN：9787542965806，立信会计出版社</w:t>
            </w:r>
          </w:p>
          <w:p>
            <w:pPr>
              <w:snapToGrid w:val="0"/>
              <w:spacing w:line="240" w:lineRule="atLeast"/>
              <w:jc w:val="left"/>
              <w:textAlignment w:val="baseline"/>
              <w:rPr>
                <w:rFonts w:ascii="宋体" w:hAnsi="宋体" w:eastAsia="宋体" w:cs="宋体"/>
                <w:sz w:val="20"/>
              </w:rPr>
            </w:pPr>
            <w:r>
              <w:rPr>
                <w:rFonts w:hint="eastAsia" w:ascii="宋体" w:hAnsi="宋体" w:eastAsia="宋体" w:cs="宋体"/>
              </w:rPr>
              <w:t>《财务管理》，</w:t>
            </w:r>
            <w:r>
              <w:rPr>
                <w:rFonts w:ascii="宋体" w:hAnsi="宋体" w:eastAsia="宋体"/>
              </w:rPr>
              <w:t>2019</w:t>
            </w:r>
            <w:r>
              <w:rPr>
                <w:rFonts w:hint="eastAsia" w:ascii="宋体" w:hAnsi="宋体" w:eastAsia="宋体" w:cs="宋体"/>
              </w:rPr>
              <w:t>年</w:t>
            </w:r>
            <w:r>
              <w:rPr>
                <w:rFonts w:ascii="宋体" w:hAnsi="宋体" w:eastAsia="宋体"/>
              </w:rPr>
              <w:t>03</w:t>
            </w:r>
            <w:r>
              <w:rPr>
                <w:rFonts w:hint="eastAsia" w:ascii="宋体" w:hAnsi="宋体" w:eastAsia="宋体" w:cs="宋体"/>
              </w:rPr>
              <w:t>月，刘春华</w:t>
            </w:r>
            <w:r>
              <w:rPr>
                <w:rFonts w:ascii="宋体" w:hAnsi="宋体" w:eastAsia="宋体"/>
              </w:rPr>
              <w:t xml:space="preserve"> </w:t>
            </w:r>
            <w:r>
              <w:rPr>
                <w:rFonts w:hint="eastAsia" w:ascii="宋体" w:hAnsi="宋体" w:eastAsia="宋体" w:cs="宋体"/>
              </w:rPr>
              <w:t>徐欣，东北财经大学出版社，</w:t>
            </w:r>
          </w:p>
          <w:p>
            <w:pPr>
              <w:snapToGrid w:val="0"/>
              <w:spacing w:line="240" w:lineRule="atLeast"/>
              <w:jc w:val="left"/>
              <w:textAlignment w:val="baseline"/>
              <w:rPr>
                <w:rFonts w:ascii="宋体" w:hAnsi="宋体" w:eastAsia="宋体"/>
                <w:sz w:val="20"/>
              </w:rPr>
            </w:pPr>
            <w:r>
              <w:rPr>
                <w:rFonts w:ascii="宋体" w:hAnsi="宋体" w:eastAsia="宋体"/>
              </w:rPr>
              <w:t>ISBN</w:t>
            </w:r>
            <w:r>
              <w:rPr>
                <w:rFonts w:hint="eastAsia" w:ascii="宋体" w:hAnsi="宋体" w:eastAsia="宋体" w:cs="宋体"/>
              </w:rPr>
              <w:t>：</w:t>
            </w:r>
            <w:r>
              <w:rPr>
                <w:rFonts w:ascii="宋体" w:hAnsi="宋体" w:eastAsia="宋体"/>
              </w:rPr>
              <w:t>9787565433061</w:t>
            </w:r>
          </w:p>
        </w:tc>
      </w:tr>
      <w:tr>
        <w:tblPrEx>
          <w:tblCellMar>
            <w:top w:w="0" w:type="dxa"/>
            <w:left w:w="0" w:type="dxa"/>
            <w:bottom w:w="0" w:type="dxa"/>
            <w:right w:w="0" w:type="dxa"/>
          </w:tblCellMar>
        </w:tblPrEx>
        <w:trPr>
          <w:trHeight w:val="1132"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cs="宋体"/>
                <w:sz w:val="20"/>
              </w:rPr>
            </w:pPr>
            <w:r>
              <w:rPr>
                <w:rFonts w:hint="eastAsia" w:ascii="宋体" w:hAnsi="宋体" w:eastAsia="宋体" w:cs="宋体"/>
              </w:rPr>
              <w:t>营销基础综合</w:t>
            </w:r>
          </w:p>
          <w:p>
            <w:pPr>
              <w:spacing w:line="400" w:lineRule="exact"/>
              <w:jc w:val="center"/>
              <w:textAlignment w:val="baseline"/>
              <w:rPr>
                <w:rFonts w:ascii="宋体" w:hAnsi="宋体" w:eastAsia="宋体"/>
                <w:sz w:val="20"/>
              </w:rPr>
            </w:pPr>
            <w:r>
              <w:rPr>
                <w:rFonts w:hint="eastAsia" w:ascii="宋体" w:hAnsi="宋体" w:eastAsia="宋体" w:cs="宋体"/>
              </w:rPr>
              <w:t>（市场营销、管理学）</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ind w:left="210" w:hanging="210" w:hangingChars="100"/>
              <w:jc w:val="left"/>
              <w:textAlignment w:val="baseline"/>
              <w:rPr>
                <w:rFonts w:ascii="宋体" w:hAnsi="宋体" w:eastAsia="宋体"/>
                <w:sz w:val="20"/>
              </w:rPr>
            </w:pPr>
            <w:r>
              <w:rPr>
                <w:rFonts w:hint="eastAsia" w:ascii="宋体" w:hAnsi="宋体" w:eastAsia="宋体" w:cs="宋体"/>
              </w:rPr>
              <w:t>《市场营销学通论》，郭国庆，中国人民大学出版社，2020年，</w:t>
            </w:r>
            <w:r>
              <w:rPr>
                <w:rFonts w:ascii="宋体" w:hAnsi="宋体" w:eastAsia="宋体"/>
              </w:rPr>
              <w:t>IS</w:t>
            </w:r>
            <w:r>
              <w:rPr>
                <w:rFonts w:hint="eastAsia" w:ascii="宋体" w:hAnsi="宋体" w:eastAsia="宋体"/>
              </w:rPr>
              <w:t xml:space="preserve"> </w:t>
            </w:r>
            <w:r>
              <w:rPr>
                <w:rFonts w:ascii="宋体" w:hAnsi="宋体" w:eastAsia="宋体"/>
              </w:rPr>
              <w:t>BN:</w:t>
            </w:r>
            <w:r>
              <w:rPr>
                <w:rFonts w:ascii="宋体" w:hAnsi="宋体" w:eastAsia="宋体" w:cs="Arial"/>
                <w:sz w:val="19"/>
                <w:szCs w:val="19"/>
                <w:shd w:val="clear" w:color="auto" w:fill="FFFFFF"/>
              </w:rPr>
              <w:t>9787300245591</w:t>
            </w:r>
          </w:p>
          <w:p>
            <w:pPr>
              <w:snapToGrid w:val="0"/>
              <w:spacing w:line="240" w:lineRule="atLeast"/>
              <w:ind w:left="210" w:hanging="210" w:hangingChars="100"/>
              <w:jc w:val="left"/>
              <w:textAlignment w:val="baseline"/>
              <w:rPr>
                <w:rFonts w:ascii="宋体" w:hAnsi="宋体" w:eastAsia="宋体"/>
                <w:sz w:val="20"/>
              </w:rPr>
            </w:pPr>
            <w:r>
              <w:rPr>
                <w:rFonts w:hint="eastAsia" w:ascii="宋体" w:hAnsi="宋体" w:eastAsia="宋体"/>
              </w:rPr>
              <w:t>《管理学》，2016年2月，戴德锋，北京邮电大学出版社，ISBN:9787563546466</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cs="宋体"/>
                <w:sz w:val="20"/>
              </w:rPr>
            </w:pPr>
            <w:r>
              <w:rPr>
                <w:rFonts w:hint="eastAsia" w:ascii="宋体" w:hAnsi="宋体" w:eastAsia="宋体" w:cs="宋体"/>
              </w:rPr>
              <w:t>文化产业管理基础综合</w:t>
            </w:r>
          </w:p>
          <w:p>
            <w:pPr>
              <w:spacing w:line="400" w:lineRule="exact"/>
              <w:jc w:val="center"/>
              <w:textAlignment w:val="baseline"/>
              <w:rPr>
                <w:rFonts w:ascii="宋体" w:hAnsi="宋体" w:eastAsia="宋体"/>
                <w:sz w:val="20"/>
              </w:rPr>
            </w:pPr>
            <w:r>
              <w:rPr>
                <w:rFonts w:ascii="宋体" w:hAnsi="宋体" w:eastAsia="宋体"/>
              </w:rPr>
              <w:t xml:space="preserve"> </w:t>
            </w:r>
            <w:r>
              <w:rPr>
                <w:rFonts w:hint="eastAsia" w:ascii="宋体" w:hAnsi="宋体" w:eastAsia="宋体" w:cs="宋体"/>
              </w:rPr>
              <w:t>（管理学原理、大学语文）</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ind w:left="210" w:hanging="210" w:hangingChars="100"/>
              <w:jc w:val="left"/>
              <w:textAlignment w:val="baseline"/>
              <w:rPr>
                <w:rFonts w:ascii="宋体" w:hAnsi="宋体" w:eastAsia="宋体"/>
                <w:sz w:val="20"/>
              </w:rPr>
            </w:pPr>
            <w:r>
              <w:rPr>
                <w:rFonts w:hint="eastAsia" w:ascii="宋体" w:hAnsi="宋体" w:eastAsia="宋体"/>
              </w:rPr>
              <w:t>《管理学》，2016年2月，戴德锋，北京邮电大学出版社，ISBN:9787563546466</w:t>
            </w:r>
          </w:p>
          <w:p>
            <w:pPr>
              <w:snapToGrid w:val="0"/>
              <w:spacing w:line="240" w:lineRule="atLeast"/>
              <w:jc w:val="left"/>
              <w:textAlignment w:val="baseline"/>
              <w:rPr>
                <w:rFonts w:ascii="宋体" w:hAnsi="宋体" w:eastAsia="宋体"/>
                <w:sz w:val="20"/>
              </w:rPr>
            </w:pPr>
            <w:r>
              <w:rPr>
                <w:rFonts w:hint="eastAsia" w:ascii="宋体" w:hAnsi="宋体" w:eastAsia="宋体"/>
              </w:rPr>
              <w:t>《大学语文》（第十一版），2018年11月，徐中玉，齐森华，谭帆，教育部高教司组编，华东师范大学出版社，ISBN：9787567577527</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cs="宋体"/>
                <w:sz w:val="20"/>
              </w:rPr>
            </w:pPr>
            <w:r>
              <w:rPr>
                <w:rFonts w:hint="eastAsia" w:ascii="宋体" w:hAnsi="宋体" w:eastAsia="宋体" w:cs="宋体"/>
              </w:rPr>
              <w:t>机械设计基础综合</w:t>
            </w:r>
          </w:p>
          <w:p>
            <w:pPr>
              <w:spacing w:line="400" w:lineRule="exact"/>
              <w:jc w:val="center"/>
              <w:textAlignment w:val="baseline"/>
              <w:rPr>
                <w:rFonts w:ascii="宋体" w:hAnsi="宋体" w:eastAsia="宋体"/>
                <w:sz w:val="20"/>
              </w:rPr>
            </w:pPr>
            <w:r>
              <w:rPr>
                <w:rFonts w:hint="eastAsia" w:ascii="宋体" w:hAnsi="宋体" w:eastAsia="宋体" w:cs="宋体"/>
              </w:rPr>
              <w:t>（工程力学、机械设计基础）</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ind w:left="210" w:hanging="210" w:hangingChars="100"/>
              <w:jc w:val="left"/>
              <w:textAlignment w:val="baseline"/>
              <w:rPr>
                <w:rFonts w:ascii="宋体" w:hAnsi="宋体" w:eastAsia="宋体"/>
                <w:bCs/>
                <w:sz w:val="20"/>
              </w:rPr>
            </w:pPr>
            <w:r>
              <w:rPr>
                <w:rFonts w:hint="eastAsia" w:ascii="宋体" w:hAnsi="宋体" w:eastAsia="宋体"/>
                <w:bCs/>
              </w:rPr>
              <w:t>《工程力学》，刘思俊，机械工业出版社，</w:t>
            </w:r>
            <w:r>
              <w:rPr>
                <w:rFonts w:ascii="宋体" w:hAnsi="宋体" w:eastAsia="宋体"/>
                <w:bCs/>
              </w:rPr>
              <w:t>ISBN</w:t>
            </w:r>
            <w:r>
              <w:rPr>
                <w:rFonts w:hint="eastAsia" w:ascii="宋体" w:hAnsi="宋体" w:eastAsia="宋体"/>
                <w:bCs/>
              </w:rPr>
              <w:t>：9787111493020</w:t>
            </w:r>
          </w:p>
          <w:p>
            <w:pPr>
              <w:snapToGrid w:val="0"/>
              <w:spacing w:line="240" w:lineRule="atLeast"/>
              <w:jc w:val="left"/>
              <w:textAlignment w:val="baseline"/>
              <w:rPr>
                <w:rFonts w:ascii="宋体" w:hAnsi="宋体" w:eastAsia="宋体"/>
                <w:sz w:val="20"/>
              </w:rPr>
            </w:pPr>
            <w:r>
              <w:rPr>
                <w:rFonts w:hint="eastAsia" w:ascii="宋体" w:hAnsi="宋体" w:eastAsia="宋体"/>
              </w:rPr>
              <w:t>《机械设计基础》，陈秀宁主编，浙江大学出版社，</w:t>
            </w:r>
          </w:p>
          <w:p>
            <w:pPr>
              <w:snapToGrid w:val="0"/>
              <w:spacing w:line="240" w:lineRule="atLeast"/>
              <w:jc w:val="left"/>
              <w:textAlignment w:val="baseline"/>
              <w:rPr>
                <w:rFonts w:ascii="宋体" w:hAnsi="宋体" w:eastAsia="宋体"/>
                <w:sz w:val="20"/>
              </w:rPr>
            </w:pPr>
            <w:r>
              <w:rPr>
                <w:rFonts w:ascii="宋体" w:hAnsi="宋体" w:eastAsia="宋体"/>
              </w:rPr>
              <w:t>ISBN</w:t>
            </w:r>
            <w:r>
              <w:rPr>
                <w:rFonts w:hint="eastAsia" w:ascii="宋体" w:hAnsi="宋体" w:eastAsia="宋体"/>
              </w:rPr>
              <w:t>：</w:t>
            </w:r>
            <w:r>
              <w:rPr>
                <w:rFonts w:ascii="宋体" w:hAnsi="宋体" w:eastAsia="宋体"/>
              </w:rPr>
              <w:t>9787308164474</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土木工程基础综合</w:t>
            </w:r>
          </w:p>
          <w:p>
            <w:pPr>
              <w:spacing w:line="400" w:lineRule="exact"/>
              <w:jc w:val="center"/>
              <w:textAlignment w:val="baseline"/>
              <w:rPr>
                <w:rFonts w:ascii="宋体" w:hAnsi="宋体" w:eastAsia="宋体"/>
                <w:sz w:val="20"/>
              </w:rPr>
            </w:pPr>
            <w:r>
              <w:rPr>
                <w:rFonts w:hint="eastAsia" w:ascii="宋体" w:hAnsi="宋体" w:eastAsia="宋体" w:cs="宋体"/>
              </w:rPr>
              <w:t>（建筑材料、建筑施工技术）</w:t>
            </w:r>
          </w:p>
        </w:tc>
        <w:tc>
          <w:tcPr>
            <w:tcW w:w="6387" w:type="dxa"/>
            <w:tcBorders>
              <w:top w:val="single" w:color="000000"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ind w:left="210" w:hanging="210" w:hangingChars="100"/>
              <w:jc w:val="left"/>
              <w:textAlignment w:val="baseline"/>
              <w:rPr>
                <w:rFonts w:ascii="宋体" w:hAnsi="宋体" w:eastAsia="宋体"/>
                <w:sz w:val="20"/>
              </w:rPr>
            </w:pPr>
            <w:r>
              <w:rPr>
                <w:rFonts w:hint="eastAsia" w:ascii="宋体" w:hAnsi="宋体" w:eastAsia="宋体"/>
              </w:rPr>
              <w:t>《土木工程材料》</w:t>
            </w:r>
            <w:r>
              <w:rPr>
                <w:rFonts w:ascii="宋体" w:hAnsi="宋体" w:eastAsia="宋体"/>
              </w:rPr>
              <w:t>2016</w:t>
            </w:r>
            <w:r>
              <w:rPr>
                <w:rFonts w:hint="eastAsia" w:ascii="宋体" w:hAnsi="宋体" w:eastAsia="宋体"/>
              </w:rPr>
              <w:t>年第一版，刘志勇主编，西南交通大学出版社，</w:t>
            </w:r>
            <w:r>
              <w:rPr>
                <w:rFonts w:ascii="宋体" w:hAnsi="宋体" w:eastAsia="宋体"/>
              </w:rPr>
              <w:t>ISBN</w:t>
            </w:r>
            <w:r>
              <w:rPr>
                <w:rFonts w:hint="eastAsia" w:ascii="宋体" w:hAnsi="宋体" w:eastAsia="宋体"/>
              </w:rPr>
              <w:t>：</w:t>
            </w:r>
            <w:r>
              <w:rPr>
                <w:rFonts w:ascii="宋体" w:hAnsi="宋体" w:eastAsia="宋体"/>
              </w:rPr>
              <w:t>9787564328320</w:t>
            </w:r>
          </w:p>
          <w:p>
            <w:pPr>
              <w:snapToGrid w:val="0"/>
              <w:spacing w:line="240" w:lineRule="atLeast"/>
              <w:ind w:left="210" w:hanging="210" w:hangingChars="100"/>
              <w:jc w:val="left"/>
              <w:textAlignment w:val="baseline"/>
              <w:rPr>
                <w:rFonts w:ascii="宋体" w:hAnsi="宋体" w:eastAsia="宋体"/>
                <w:sz w:val="20"/>
              </w:rPr>
            </w:pPr>
            <w:r>
              <w:rPr>
                <w:rFonts w:ascii="宋体" w:hAnsi="宋体" w:eastAsia="宋体"/>
              </w:rPr>
              <w:t>《土木工程施工技术》2020年8</w:t>
            </w:r>
            <w:r>
              <w:rPr>
                <w:rFonts w:hint="eastAsia" w:ascii="宋体" w:hAnsi="宋体" w:eastAsia="宋体"/>
              </w:rPr>
              <w:t>月</w:t>
            </w:r>
            <w:r>
              <w:rPr>
                <w:rFonts w:ascii="宋体" w:hAnsi="宋体" w:eastAsia="宋体"/>
              </w:rPr>
              <w:t>第</w:t>
            </w:r>
            <w:r>
              <w:rPr>
                <w:rFonts w:hint="eastAsia" w:ascii="宋体" w:hAnsi="宋体" w:eastAsia="宋体"/>
              </w:rPr>
              <w:t>一</w:t>
            </w:r>
            <w:r>
              <w:rPr>
                <w:rFonts w:ascii="宋体" w:hAnsi="宋体" w:eastAsia="宋体"/>
              </w:rPr>
              <w:t>版</w:t>
            </w:r>
            <w:r>
              <w:rPr>
                <w:rFonts w:hint="eastAsia" w:ascii="宋体" w:hAnsi="宋体" w:eastAsia="宋体"/>
              </w:rPr>
              <w:t>，陶杰主</w:t>
            </w:r>
            <w:r>
              <w:rPr>
                <w:rFonts w:ascii="宋体" w:hAnsi="宋体" w:eastAsia="宋体"/>
              </w:rPr>
              <w:t>编</w:t>
            </w:r>
            <w:r>
              <w:rPr>
                <w:rFonts w:hint="eastAsia" w:ascii="宋体" w:hAnsi="宋体" w:eastAsia="宋体"/>
              </w:rPr>
              <w:t>，</w:t>
            </w:r>
            <w:r>
              <w:rPr>
                <w:rFonts w:ascii="宋体" w:hAnsi="宋体" w:eastAsia="宋体"/>
              </w:rPr>
              <w:t>北京理工大学出版社，ISBN：9787568289184</w:t>
            </w:r>
          </w:p>
        </w:tc>
      </w:tr>
      <w:tr>
        <w:tblPrEx>
          <w:tblCellMar>
            <w:top w:w="0" w:type="dxa"/>
            <w:left w:w="0" w:type="dxa"/>
            <w:bottom w:w="0" w:type="dxa"/>
            <w:right w:w="0" w:type="dxa"/>
          </w:tblCellMar>
        </w:tblPrEx>
        <w:trPr>
          <w:trHeight w:val="284" w:hRule="atLeast"/>
          <w:jc w:val="center"/>
        </w:trPr>
        <w:tc>
          <w:tcPr>
            <w:tcW w:w="283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工程造价基础综合</w:t>
            </w:r>
          </w:p>
          <w:p>
            <w:pPr>
              <w:spacing w:line="400" w:lineRule="exact"/>
              <w:jc w:val="center"/>
              <w:textAlignment w:val="baseline"/>
              <w:rPr>
                <w:rFonts w:ascii="宋体" w:hAnsi="宋体" w:eastAsia="宋体"/>
                <w:sz w:val="20"/>
              </w:rPr>
            </w:pPr>
            <w:r>
              <w:rPr>
                <w:rFonts w:hint="eastAsia" w:ascii="宋体" w:hAnsi="宋体" w:eastAsia="宋体" w:cs="宋体"/>
              </w:rPr>
              <w:t>（房屋构造、建筑制图）</w:t>
            </w:r>
          </w:p>
        </w:tc>
        <w:tc>
          <w:tcPr>
            <w:tcW w:w="63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《房屋构造与识图》</w:t>
            </w:r>
            <w:r>
              <w:rPr>
                <w:rFonts w:ascii="宋体" w:hAnsi="宋体" w:eastAsia="宋体"/>
              </w:rPr>
              <w:t>2018</w:t>
            </w:r>
            <w:r>
              <w:rPr>
                <w:rFonts w:hint="eastAsia" w:ascii="宋体" w:hAnsi="宋体" w:eastAsia="宋体" w:cs="宋体"/>
              </w:rPr>
              <w:t>年</w:t>
            </w:r>
            <w:r>
              <w:rPr>
                <w:rFonts w:ascii="宋体" w:hAnsi="宋体" w:eastAsia="宋体"/>
              </w:rPr>
              <w:t>1</w:t>
            </w:r>
            <w:r>
              <w:rPr>
                <w:rFonts w:hint="eastAsia" w:ascii="宋体" w:hAnsi="宋体" w:eastAsia="宋体" w:cs="宋体"/>
              </w:rPr>
              <w:t>月第一版，毛小敏主编，哈尔滨工程大学出版社，</w:t>
            </w:r>
            <w:r>
              <w:rPr>
                <w:rFonts w:ascii="宋体" w:hAnsi="宋体" w:eastAsia="宋体"/>
              </w:rPr>
              <w:t>ISBN</w:t>
            </w:r>
            <w:r>
              <w:rPr>
                <w:rFonts w:hint="eastAsia" w:ascii="宋体" w:hAnsi="宋体" w:eastAsia="宋体" w:cs="宋体"/>
              </w:rPr>
              <w:t>：</w:t>
            </w:r>
            <w:r>
              <w:rPr>
                <w:rFonts w:ascii="宋体" w:hAnsi="宋体" w:eastAsia="宋体"/>
              </w:rPr>
              <w:t>9787566118110</w:t>
            </w:r>
          </w:p>
          <w:p>
            <w:pPr>
              <w:snapToGrid w:val="0"/>
              <w:spacing w:line="240" w:lineRule="atLeast"/>
              <w:ind w:left="210" w:hanging="210"/>
              <w:jc w:val="left"/>
              <w:textAlignment w:val="baseline"/>
              <w:rPr>
                <w:rFonts w:ascii="宋体" w:hAnsi="宋体" w:eastAsia="宋体"/>
                <w:sz w:val="20"/>
              </w:rPr>
            </w:pPr>
            <w:r>
              <w:rPr>
                <w:rFonts w:hint="eastAsia" w:ascii="宋体" w:hAnsi="宋体" w:eastAsia="宋体" w:cs="宋体"/>
              </w:rPr>
              <w:t>《建筑工程制图与识图》</w:t>
            </w:r>
            <w:r>
              <w:rPr>
                <w:rFonts w:ascii="宋体" w:hAnsi="宋体" w:eastAsia="宋体"/>
              </w:rPr>
              <w:t>2015</w:t>
            </w:r>
            <w:r>
              <w:rPr>
                <w:rFonts w:hint="eastAsia" w:ascii="宋体" w:hAnsi="宋体" w:eastAsia="宋体" w:cs="宋体"/>
              </w:rPr>
              <w:t>年</w:t>
            </w:r>
            <w:r>
              <w:rPr>
                <w:rFonts w:ascii="宋体" w:hAnsi="宋体" w:eastAsia="宋体"/>
              </w:rPr>
              <w:t>8</w:t>
            </w:r>
            <w:r>
              <w:rPr>
                <w:rFonts w:hint="eastAsia" w:ascii="宋体" w:hAnsi="宋体" w:eastAsia="宋体" w:cs="宋体"/>
              </w:rPr>
              <w:t>月第</w:t>
            </w:r>
            <w:r>
              <w:rPr>
                <w:rFonts w:ascii="宋体" w:hAnsi="宋体" w:eastAsia="宋体"/>
              </w:rPr>
              <w:t>1</w:t>
            </w:r>
            <w:r>
              <w:rPr>
                <w:rFonts w:hint="eastAsia" w:ascii="宋体" w:hAnsi="宋体" w:eastAsia="宋体" w:cs="宋体"/>
              </w:rPr>
              <w:t>版，闫小春、朱晓丽主编，武汉大学出版社，</w:t>
            </w:r>
            <w:r>
              <w:rPr>
                <w:rFonts w:ascii="宋体" w:hAnsi="宋体" w:eastAsia="宋体"/>
              </w:rPr>
              <w:t>ISBN</w:t>
            </w:r>
            <w:r>
              <w:rPr>
                <w:rFonts w:hint="eastAsia" w:ascii="宋体" w:hAnsi="宋体" w:eastAsia="宋体" w:cs="宋体"/>
              </w:rPr>
              <w:t>：</w:t>
            </w:r>
            <w:r>
              <w:rPr>
                <w:rFonts w:ascii="宋体" w:hAnsi="宋体" w:eastAsia="宋体"/>
              </w:rPr>
              <w:t xml:space="preserve">9787307161184 </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cs="宋体"/>
                <w:sz w:val="20"/>
              </w:rPr>
            </w:pPr>
            <w:r>
              <w:rPr>
                <w:rFonts w:hint="eastAsia" w:ascii="宋体" w:hAnsi="宋体" w:eastAsia="宋体" w:cs="宋体"/>
              </w:rPr>
              <w:t>食品科学与工程础综合</w:t>
            </w:r>
          </w:p>
          <w:p>
            <w:pPr>
              <w:spacing w:line="400" w:lineRule="exact"/>
              <w:jc w:val="center"/>
              <w:textAlignment w:val="baseline"/>
              <w:rPr>
                <w:rFonts w:ascii="宋体" w:hAnsi="宋体" w:eastAsia="宋体"/>
                <w:sz w:val="20"/>
              </w:rPr>
            </w:pPr>
            <w:r>
              <w:rPr>
                <w:rFonts w:hint="eastAsia" w:ascii="宋体" w:hAnsi="宋体" w:eastAsia="宋体" w:cs="宋体"/>
              </w:rPr>
              <w:t>（食品化学、食品分析）</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sz w:val="20"/>
              </w:rPr>
            </w:pPr>
            <w:r>
              <w:rPr>
                <w:rFonts w:hint="eastAsia" w:ascii="宋体" w:hAnsi="宋体" w:eastAsia="宋体" w:cs="宋体"/>
              </w:rPr>
              <w:t>《食品化学》（第二版），孙延春，方北曙主编，2016年3月，武汉理工大学出版社，ISBN：978-7-5629-5111-7</w:t>
            </w:r>
          </w:p>
          <w:p>
            <w:pPr>
              <w:snapToGrid w:val="0"/>
              <w:spacing w:line="240" w:lineRule="atLeast"/>
              <w:jc w:val="left"/>
              <w:textAlignment w:val="baseline"/>
              <w:rPr>
                <w:rFonts w:ascii="宋体" w:hAnsi="宋体" w:eastAsia="宋体" w:cs="宋体"/>
                <w:sz w:val="20"/>
              </w:rPr>
            </w:pPr>
            <w:r>
              <w:rPr>
                <w:rFonts w:hint="eastAsia" w:ascii="宋体" w:hAnsi="宋体" w:eastAsia="宋体" w:cs="宋体"/>
              </w:rPr>
              <w:t>《食品分析》， 李和生主编，2014年1月第一版，科学出版社，</w:t>
            </w:r>
          </w:p>
          <w:p>
            <w:pPr>
              <w:snapToGrid w:val="0"/>
              <w:spacing w:line="240" w:lineRule="atLeast"/>
              <w:jc w:val="left"/>
              <w:textAlignment w:val="baseline"/>
              <w:rPr>
                <w:rFonts w:ascii="宋体" w:hAnsi="宋体" w:eastAsia="宋体"/>
                <w:sz w:val="20"/>
              </w:rPr>
            </w:pPr>
            <w:r>
              <w:rPr>
                <w:rFonts w:hint="eastAsia" w:ascii="宋体" w:hAnsi="宋体" w:eastAsia="宋体" w:cs="宋体"/>
              </w:rPr>
              <w:t>ISBN：9787030390486</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园林基础综合</w:t>
            </w:r>
          </w:p>
          <w:p>
            <w:pPr>
              <w:spacing w:line="400" w:lineRule="exact"/>
              <w:jc w:val="center"/>
              <w:textAlignment w:val="baseline"/>
              <w:rPr>
                <w:rFonts w:ascii="宋体" w:hAnsi="宋体" w:eastAsia="宋体"/>
                <w:sz w:val="20"/>
              </w:rPr>
            </w:pPr>
            <w:r>
              <w:rPr>
                <w:rFonts w:hint="eastAsia" w:ascii="宋体" w:hAnsi="宋体" w:eastAsia="宋体" w:cs="宋体"/>
              </w:rPr>
              <w:t>（园林树木学、园林设计）</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textAlignment w:val="baseline"/>
              <w:rPr>
                <w:rFonts w:ascii="宋体" w:hAnsi="宋体" w:eastAsia="宋体"/>
                <w:sz w:val="20"/>
              </w:rPr>
            </w:pPr>
            <w:r>
              <w:rPr>
                <w:rFonts w:hint="eastAsia" w:ascii="宋体" w:hAnsi="宋体" w:eastAsia="宋体"/>
              </w:rPr>
              <w:t>《观赏树木》，潘文明主编，中国农业出版社，</w:t>
            </w:r>
            <w:r>
              <w:rPr>
                <w:rFonts w:ascii="宋体" w:hAnsi="宋体" w:eastAsia="宋体"/>
              </w:rPr>
              <w:t>2014</w:t>
            </w:r>
            <w:r>
              <w:rPr>
                <w:rFonts w:hint="eastAsia" w:ascii="宋体" w:hAnsi="宋体" w:eastAsia="宋体"/>
              </w:rPr>
              <w:t>年，</w:t>
            </w:r>
          </w:p>
          <w:p>
            <w:pPr>
              <w:snapToGrid w:val="0"/>
              <w:spacing w:line="240" w:lineRule="atLeast"/>
              <w:textAlignment w:val="baseline"/>
              <w:rPr>
                <w:rFonts w:ascii="宋体" w:hAnsi="宋体" w:eastAsia="宋体"/>
                <w:sz w:val="20"/>
              </w:rPr>
            </w:pPr>
            <w:r>
              <w:rPr>
                <w:rFonts w:ascii="宋体" w:hAnsi="宋体" w:eastAsia="宋体"/>
              </w:rPr>
              <w:t>ISBN</w:t>
            </w:r>
            <w:r>
              <w:rPr>
                <w:rFonts w:hint="eastAsia" w:ascii="宋体" w:hAnsi="宋体" w:eastAsia="宋体"/>
              </w:rPr>
              <w:t>：</w:t>
            </w:r>
            <w:r>
              <w:rPr>
                <w:rFonts w:ascii="宋体" w:hAnsi="宋体" w:eastAsia="宋体"/>
              </w:rPr>
              <w:t>9787109196285</w:t>
            </w:r>
          </w:p>
          <w:p>
            <w:pPr>
              <w:snapToGrid w:val="0"/>
              <w:spacing w:line="240" w:lineRule="atLeast"/>
              <w:jc w:val="left"/>
              <w:textAlignment w:val="baseline"/>
              <w:rPr>
                <w:rFonts w:ascii="宋体" w:hAnsi="宋体" w:eastAsia="宋体"/>
                <w:sz w:val="20"/>
              </w:rPr>
            </w:pPr>
            <w:r>
              <w:rPr>
                <w:rFonts w:hint="eastAsia" w:ascii="宋体" w:hAnsi="宋体" w:eastAsia="宋体"/>
              </w:rPr>
              <w:t>《风景</w:t>
            </w:r>
            <w:r>
              <w:rPr>
                <w:rFonts w:ascii="宋体" w:hAnsi="宋体" w:eastAsia="宋体"/>
              </w:rPr>
              <w:t>园林概论</w:t>
            </w:r>
            <w:r>
              <w:rPr>
                <w:rFonts w:hint="eastAsia" w:ascii="宋体" w:hAnsi="宋体" w:eastAsia="宋体"/>
              </w:rPr>
              <w:t>》，顾韩主编，化学</w:t>
            </w:r>
            <w:r>
              <w:rPr>
                <w:rFonts w:ascii="宋体" w:hAnsi="宋体" w:eastAsia="宋体"/>
              </w:rPr>
              <w:t>工业出版社</w:t>
            </w:r>
            <w:r>
              <w:rPr>
                <w:rFonts w:hint="eastAsia" w:ascii="宋体" w:hAnsi="宋体" w:eastAsia="宋体"/>
              </w:rPr>
              <w:t>，</w:t>
            </w:r>
            <w:r>
              <w:rPr>
                <w:rFonts w:ascii="宋体" w:hAnsi="宋体" w:eastAsia="宋体"/>
              </w:rPr>
              <w:t>2014</w:t>
            </w:r>
            <w:r>
              <w:rPr>
                <w:rFonts w:hint="eastAsia" w:ascii="宋体" w:hAnsi="宋体" w:eastAsia="宋体"/>
              </w:rPr>
              <w:t>年，</w:t>
            </w:r>
          </w:p>
          <w:p>
            <w:pPr>
              <w:snapToGrid w:val="0"/>
              <w:spacing w:line="240" w:lineRule="atLeast"/>
              <w:jc w:val="left"/>
              <w:textAlignment w:val="baseline"/>
              <w:rPr>
                <w:rFonts w:ascii="宋体" w:hAnsi="宋体" w:eastAsia="宋体"/>
                <w:sz w:val="20"/>
              </w:rPr>
            </w:pPr>
            <w:r>
              <w:rPr>
                <w:rFonts w:ascii="宋体" w:hAnsi="宋体" w:eastAsia="宋体"/>
              </w:rPr>
              <w:t>ISBN：9787122200617</w:t>
            </w:r>
          </w:p>
        </w:tc>
      </w:tr>
      <w:tr>
        <w:tblPrEx>
          <w:tblCellMar>
            <w:top w:w="0" w:type="dxa"/>
            <w:left w:w="0" w:type="dxa"/>
            <w:bottom w:w="0" w:type="dxa"/>
            <w:right w:w="0" w:type="dxa"/>
          </w:tblCellMar>
        </w:tblPrEx>
        <w:trPr>
          <w:trHeight w:val="1026"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jc w:val="center"/>
              <w:textAlignment w:val="baseline"/>
              <w:rPr>
                <w:rFonts w:ascii="宋体" w:hAnsi="宋体" w:eastAsia="宋体" w:cs="宋体"/>
                <w:kern w:val="0"/>
                <w:sz w:val="20"/>
                <w:szCs w:val="21"/>
              </w:rPr>
            </w:pPr>
            <w:r>
              <w:rPr>
                <w:rFonts w:hint="eastAsia" w:ascii="宋体" w:hAnsi="宋体" w:eastAsia="宋体" w:cs="宋体"/>
                <w:kern w:val="0"/>
                <w:szCs w:val="21"/>
              </w:rPr>
              <w:t>园艺</w:t>
            </w:r>
            <w:r>
              <w:rPr>
                <w:rFonts w:ascii="宋体" w:hAnsi="宋体" w:eastAsia="宋体" w:cs="宋体"/>
                <w:kern w:val="0"/>
                <w:szCs w:val="21"/>
              </w:rPr>
              <w:t>基础综合</w:t>
            </w:r>
          </w:p>
          <w:p>
            <w:pPr>
              <w:spacing w:line="400" w:lineRule="exact"/>
              <w:ind w:right="-134"/>
              <w:jc w:val="center"/>
              <w:textAlignment w:val="baseline"/>
              <w:rPr>
                <w:rFonts w:ascii="宋体" w:hAnsi="宋体" w:eastAsia="宋体" w:cs="宋体"/>
                <w:sz w:val="20"/>
              </w:rPr>
            </w:pPr>
            <w:r>
              <w:rPr>
                <w:rFonts w:hint="eastAsia" w:ascii="宋体" w:hAnsi="宋体" w:eastAsia="宋体" w:cs="宋体"/>
              </w:rPr>
              <w:t>（</w:t>
            </w:r>
            <w:r>
              <w:rPr>
                <w:rFonts w:ascii="宋体" w:hAnsi="宋体" w:eastAsia="宋体" w:cs="宋体"/>
              </w:rPr>
              <w:t>花卉</w:t>
            </w:r>
            <w:r>
              <w:rPr>
                <w:rFonts w:hint="eastAsia" w:ascii="宋体" w:hAnsi="宋体" w:eastAsia="宋体" w:cs="宋体"/>
              </w:rPr>
              <w:t>、</w:t>
            </w:r>
            <w:r>
              <w:rPr>
                <w:rFonts w:ascii="宋体" w:hAnsi="宋体" w:eastAsia="宋体" w:cs="宋体"/>
              </w:rPr>
              <w:t>蔬果栽培</w:t>
            </w:r>
            <w:r>
              <w:rPr>
                <w:rFonts w:hint="eastAsia" w:ascii="宋体" w:hAnsi="宋体" w:eastAsia="宋体" w:cs="宋体"/>
              </w:rPr>
              <w:t>）</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textAlignment w:val="baseline"/>
              <w:rPr>
                <w:rFonts w:ascii="宋体" w:hAnsi="宋体" w:eastAsia="宋体"/>
                <w:sz w:val="20"/>
              </w:rPr>
            </w:pPr>
            <w:r>
              <w:rPr>
                <w:rFonts w:ascii="宋体" w:hAnsi="宋体" w:eastAsia="宋体"/>
              </w:rPr>
              <w:t>《</w:t>
            </w:r>
            <w:r>
              <w:rPr>
                <w:rFonts w:hint="eastAsia" w:ascii="宋体" w:hAnsi="宋体" w:eastAsia="宋体"/>
              </w:rPr>
              <w:t>园艺</w:t>
            </w:r>
            <w:r>
              <w:rPr>
                <w:rFonts w:ascii="宋体" w:hAnsi="宋体" w:eastAsia="宋体"/>
              </w:rPr>
              <w:t>植物栽培技术》</w:t>
            </w:r>
            <w:r>
              <w:rPr>
                <w:rFonts w:hint="eastAsia" w:ascii="宋体" w:hAnsi="宋体" w:eastAsia="宋体"/>
              </w:rPr>
              <w:t>第2版，李</w:t>
            </w:r>
            <w:r>
              <w:rPr>
                <w:rFonts w:ascii="宋体" w:hAnsi="宋体" w:eastAsia="宋体"/>
              </w:rPr>
              <w:t>卫琼主编，</w:t>
            </w:r>
            <w:r>
              <w:fldChar w:fldCharType="begin"/>
            </w:r>
            <w:r>
              <w:instrText xml:space="preserve"> HYPERLINK "https://book.jd.com/publish/重庆大学出版社_1.html" \t "_blank" \o "重庆大学出版社" </w:instrText>
            </w:r>
            <w:r>
              <w:fldChar w:fldCharType="separate"/>
            </w:r>
            <w:r>
              <w:rPr>
                <w:rFonts w:ascii="宋体" w:hAnsi="宋体" w:eastAsia="宋体"/>
              </w:rPr>
              <w:t>重庆大学出版社</w:t>
            </w:r>
            <w:r>
              <w:rPr>
                <w:rFonts w:ascii="宋体" w:hAnsi="宋体" w:eastAsia="宋体"/>
              </w:rPr>
              <w:fldChar w:fldCharType="end"/>
            </w:r>
            <w:r>
              <w:rPr>
                <w:rFonts w:hint="eastAsia" w:ascii="宋体" w:hAnsi="宋体" w:eastAsia="宋体"/>
              </w:rPr>
              <w:t>，</w:t>
            </w:r>
            <w:r>
              <w:rPr>
                <w:rFonts w:ascii="宋体" w:hAnsi="宋体" w:eastAsia="宋体"/>
              </w:rPr>
              <w:t>2020</w:t>
            </w:r>
            <w:r>
              <w:rPr>
                <w:rFonts w:hint="eastAsia" w:ascii="宋体" w:hAnsi="宋体" w:eastAsia="宋体"/>
              </w:rPr>
              <w:t>年，</w:t>
            </w:r>
            <w:r>
              <w:rPr>
                <w:rFonts w:ascii="宋体" w:hAnsi="宋体" w:eastAsia="宋体"/>
              </w:rPr>
              <w:t>ISBN</w:t>
            </w:r>
            <w:r>
              <w:rPr>
                <w:rFonts w:hint="eastAsia" w:ascii="宋体" w:hAnsi="宋体" w:eastAsia="宋体"/>
              </w:rPr>
              <w:t>：</w:t>
            </w:r>
            <w:r>
              <w:rPr>
                <w:rFonts w:ascii="宋体" w:hAnsi="宋体" w:eastAsia="宋体"/>
              </w:rPr>
              <w:t>9787562477174</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环境工程基础综合</w:t>
            </w:r>
          </w:p>
          <w:p>
            <w:pPr>
              <w:spacing w:line="400" w:lineRule="exact"/>
              <w:jc w:val="center"/>
              <w:textAlignment w:val="baseline"/>
              <w:rPr>
                <w:rFonts w:ascii="宋体" w:hAnsi="宋体" w:eastAsia="宋体"/>
                <w:sz w:val="20"/>
              </w:rPr>
            </w:pPr>
            <w:r>
              <w:rPr>
                <w:rFonts w:hint="eastAsia" w:ascii="宋体" w:hAnsi="宋体" w:eastAsia="宋体" w:cs="宋体"/>
              </w:rPr>
              <w:t>（水污染控制工程、环境监测）</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《环境监测》（第三版），</w:t>
            </w:r>
            <w:r>
              <w:fldChar w:fldCharType="begin"/>
            </w:r>
            <w:r>
              <w:instrText xml:space="preserve"> HYPERLINK "http://search.dangdang.com/?key2=%CD%F5%D3%A2%BD%A1&amp;medium=01&amp;category_path=01.00.00.00.00.00" \t "http://product.dangdang.com/_blank" </w:instrText>
            </w:r>
            <w:r>
              <w:fldChar w:fldCharType="separate"/>
            </w:r>
            <w:r>
              <w:rPr>
                <w:rFonts w:hint="eastAsia" w:ascii="宋体" w:hAnsi="宋体" w:eastAsia="宋体"/>
              </w:rPr>
              <w:t>王英健</w:t>
            </w:r>
            <w:r>
              <w:rPr>
                <w:rFonts w:hint="eastAsia" w:ascii="宋体" w:hAnsi="宋体" w:eastAsia="宋体"/>
              </w:rPr>
              <w:fldChar w:fldCharType="end"/>
            </w:r>
            <w:r>
              <w:rPr>
                <w:rFonts w:hint="eastAsia" w:ascii="宋体" w:hAnsi="宋体" w:eastAsia="宋体"/>
              </w:rPr>
              <w:t>，</w:t>
            </w:r>
            <w:r>
              <w:fldChar w:fldCharType="begin"/>
            </w:r>
            <w:r>
              <w:instrText xml:space="preserve"> HYPERLINK "http://search.dangdang.com/?key2=%D1%EE%D3%C0%BA%EC&amp;medium=01&amp;category_path=01.00.00.00.00.00" \t "http://product.dangdang.com/_blank" </w:instrText>
            </w:r>
            <w:r>
              <w:fldChar w:fldCharType="separate"/>
            </w:r>
            <w:r>
              <w:rPr>
                <w:rFonts w:hint="eastAsia" w:ascii="宋体" w:hAnsi="宋体" w:eastAsia="宋体"/>
              </w:rPr>
              <w:t>杨永红</w:t>
            </w:r>
            <w:r>
              <w:rPr>
                <w:rFonts w:hint="eastAsia" w:ascii="宋体" w:hAnsi="宋体" w:eastAsia="宋体"/>
              </w:rPr>
              <w:fldChar w:fldCharType="end"/>
            </w:r>
            <w:r>
              <w:rPr>
                <w:rFonts w:hint="eastAsia" w:ascii="宋体" w:hAnsi="宋体" w:eastAsia="宋体"/>
              </w:rPr>
              <w:t>．化学工业出版社，</w:t>
            </w:r>
            <w:r>
              <w:rPr>
                <w:rFonts w:ascii="宋体" w:hAnsi="宋体" w:eastAsia="宋体"/>
              </w:rPr>
              <w:t>2015</w:t>
            </w:r>
            <w:r>
              <w:rPr>
                <w:rFonts w:hint="eastAsia" w:ascii="宋体" w:hAnsi="宋体" w:eastAsia="宋体"/>
              </w:rPr>
              <w:t>年，</w:t>
            </w:r>
            <w:r>
              <w:rPr>
                <w:rFonts w:ascii="宋体" w:hAnsi="宋体" w:eastAsia="宋体"/>
              </w:rPr>
              <w:t>ISBN</w:t>
            </w:r>
            <w:r>
              <w:rPr>
                <w:rFonts w:hint="eastAsia" w:ascii="宋体" w:hAnsi="宋体" w:eastAsia="宋体"/>
              </w:rPr>
              <w:t>：</w:t>
            </w:r>
            <w:r>
              <w:rPr>
                <w:rFonts w:ascii="宋体" w:hAnsi="宋体" w:eastAsia="宋体"/>
              </w:rPr>
              <w:t>9787122228741</w:t>
            </w:r>
          </w:p>
          <w:p>
            <w:pPr>
              <w:snapToGrid w:val="0"/>
              <w:spacing w:line="240" w:lineRule="atLeast"/>
              <w:jc w:val="left"/>
              <w:textAlignment w:val="baseline"/>
              <w:rPr>
                <w:rFonts w:ascii="宋体" w:hAnsi="宋体" w:eastAsia="宋体"/>
                <w:sz w:val="20"/>
              </w:rPr>
            </w:pPr>
            <w:r>
              <w:rPr>
                <w:rFonts w:hint="eastAsia" w:ascii="宋体" w:hAnsi="宋体" w:eastAsia="宋体"/>
              </w:rPr>
              <w:t>《水污染控制技术》，李敭主编，冶金工业出版社，</w:t>
            </w:r>
            <w:r>
              <w:rPr>
                <w:rFonts w:ascii="宋体" w:hAnsi="宋体" w:eastAsia="宋体"/>
              </w:rPr>
              <w:t>201</w:t>
            </w:r>
            <w:r>
              <w:rPr>
                <w:rFonts w:hint="eastAsia" w:ascii="宋体" w:hAnsi="宋体" w:eastAsia="宋体"/>
              </w:rPr>
              <w:t>9年6月第1版，</w:t>
            </w:r>
            <w:r>
              <w:rPr>
                <w:rFonts w:ascii="宋体" w:hAnsi="宋体" w:eastAsia="宋体"/>
              </w:rPr>
              <w:t>ISBN</w:t>
            </w:r>
            <w:r>
              <w:rPr>
                <w:rFonts w:hint="eastAsia" w:ascii="宋体" w:hAnsi="宋体" w:eastAsia="宋体"/>
              </w:rPr>
              <w:t>：</w:t>
            </w:r>
            <w:r>
              <w:rPr>
                <w:rFonts w:ascii="宋体" w:hAnsi="宋体" w:eastAsia="宋体"/>
              </w:rPr>
              <w:t>9787</w:t>
            </w:r>
            <w:r>
              <w:rPr>
                <w:rFonts w:hint="eastAsia" w:ascii="宋体" w:hAnsi="宋体" w:eastAsia="宋体"/>
              </w:rPr>
              <w:t>502481391</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jc w:val="center"/>
              <w:textAlignment w:val="baseline"/>
              <w:rPr>
                <w:rFonts w:ascii="宋体" w:hAnsi="宋体" w:eastAsia="宋体" w:cs="宋体"/>
                <w:kern w:val="0"/>
                <w:sz w:val="20"/>
                <w:szCs w:val="21"/>
              </w:rPr>
            </w:pPr>
            <w:r>
              <w:rPr>
                <w:rFonts w:hint="eastAsia" w:ascii="宋体" w:hAnsi="宋体" w:eastAsia="宋体" w:cs="宋体"/>
                <w:kern w:val="0"/>
                <w:szCs w:val="21"/>
              </w:rPr>
              <w:t>计算机科学与技术基础综合</w:t>
            </w:r>
          </w:p>
          <w:p>
            <w:pPr>
              <w:spacing w:line="400" w:lineRule="exact"/>
              <w:jc w:val="center"/>
              <w:textAlignment w:val="baseline"/>
              <w:rPr>
                <w:rFonts w:ascii="宋体" w:hAnsi="宋体" w:eastAsia="宋体"/>
                <w:sz w:val="20"/>
              </w:rPr>
            </w:pPr>
            <w:r>
              <w:rPr>
                <w:rFonts w:hint="eastAsia" w:ascii="宋体" w:hAnsi="宋体" w:eastAsia="宋体" w:cs="宋体"/>
                <w:kern w:val="0"/>
                <w:szCs w:val="21"/>
              </w:rPr>
              <w:t>（数据库系统概论（</w:t>
            </w:r>
            <w:r>
              <w:rPr>
                <w:rFonts w:ascii="宋体" w:hAnsi="宋体" w:eastAsia="宋体"/>
              </w:rPr>
              <w:t>MySQL）</w:t>
            </w:r>
            <w:r>
              <w:rPr>
                <w:rFonts w:hint="eastAsia" w:ascii="宋体" w:hAnsi="宋体" w:eastAsia="宋体" w:cs="宋体"/>
                <w:kern w:val="0"/>
                <w:szCs w:val="21"/>
              </w:rPr>
              <w:t>、计算机基础）</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w:t>
            </w:r>
            <w:r>
              <w:rPr>
                <w:rFonts w:ascii="宋体" w:hAnsi="宋体" w:eastAsia="宋体"/>
              </w:rPr>
              <w:t>MySQL</w:t>
            </w:r>
            <w:r>
              <w:rPr>
                <w:rFonts w:hint="eastAsia" w:ascii="宋体" w:hAnsi="宋体" w:eastAsia="宋体" w:cs="宋体"/>
              </w:rPr>
              <w:t>数据库实用教程》，徐彩云</w:t>
            </w:r>
            <w:r>
              <w:rPr>
                <w:rFonts w:hint="eastAsia" w:ascii="宋体" w:hAnsi="宋体" w:eastAsia="宋体"/>
              </w:rPr>
              <w:t>，</w:t>
            </w:r>
            <w:r>
              <w:rPr>
                <w:rFonts w:hint="eastAsia" w:ascii="宋体" w:hAnsi="宋体" w:eastAsia="宋体" w:cs="宋体"/>
              </w:rPr>
              <w:t>华中科技大学出版社，</w:t>
            </w:r>
          </w:p>
          <w:p>
            <w:pPr>
              <w:snapToGrid w:val="0"/>
              <w:spacing w:line="240" w:lineRule="atLeast"/>
              <w:jc w:val="left"/>
              <w:textAlignment w:val="baseline"/>
              <w:rPr>
                <w:rFonts w:ascii="宋体" w:hAnsi="宋体" w:eastAsia="宋体"/>
                <w:sz w:val="20"/>
              </w:rPr>
            </w:pPr>
            <w:r>
              <w:rPr>
                <w:rFonts w:ascii="宋体" w:hAnsi="宋体" w:eastAsia="宋体"/>
              </w:rPr>
              <w:t>ISBN</w:t>
            </w:r>
            <w:r>
              <w:rPr>
                <w:rFonts w:hint="eastAsia" w:ascii="宋体" w:hAnsi="宋体" w:eastAsia="宋体" w:cs="宋体"/>
              </w:rPr>
              <w:t>：</w:t>
            </w:r>
            <w:r>
              <w:rPr>
                <w:rFonts w:ascii="宋体" w:hAnsi="宋体" w:eastAsia="宋体"/>
              </w:rPr>
              <w:t>978756</w:t>
            </w:r>
            <w:r>
              <w:rPr>
                <w:rFonts w:hint="eastAsia" w:ascii="宋体" w:hAnsi="宋体" w:eastAsia="宋体"/>
              </w:rPr>
              <w:t>8050173</w:t>
            </w:r>
          </w:p>
          <w:p>
            <w:pPr>
              <w:snapToGrid w:val="0"/>
              <w:spacing w:line="240" w:lineRule="atLeast"/>
              <w:jc w:val="left"/>
              <w:textAlignment w:val="baseline"/>
              <w:rPr>
                <w:rFonts w:ascii="宋体" w:hAnsi="宋体" w:eastAsia="宋体"/>
                <w:sz w:val="20"/>
              </w:rPr>
            </w:pPr>
            <w:r>
              <w:rPr>
                <w:rFonts w:hint="eastAsia" w:ascii="宋体" w:hAnsi="宋体" w:eastAsia="宋体" w:cs="宋体"/>
              </w:rPr>
              <w:t>《</w:t>
            </w:r>
            <w:r>
              <w:rPr>
                <w:rFonts w:hint="eastAsia" w:ascii="宋体" w:hAnsi="宋体" w:eastAsia="宋体"/>
              </w:rPr>
              <w:t>计算机基础一体化教程</w:t>
            </w:r>
            <w:r>
              <w:rPr>
                <w:rFonts w:hint="eastAsia" w:ascii="宋体" w:hAnsi="宋体" w:eastAsia="宋体" w:cs="宋体"/>
              </w:rPr>
              <w:t>》，吴晓凌、周方</w:t>
            </w:r>
            <w:r>
              <w:rPr>
                <w:rFonts w:hint="eastAsia" w:ascii="宋体" w:hAnsi="宋体" w:eastAsia="宋体"/>
              </w:rPr>
              <w:t>，华中师范大</w:t>
            </w:r>
            <w:r>
              <w:rPr>
                <w:rFonts w:hint="eastAsia" w:ascii="宋体" w:hAnsi="宋体" w:eastAsia="宋体" w:cs="宋体"/>
              </w:rPr>
              <w:t>学出版社，</w:t>
            </w:r>
          </w:p>
          <w:p>
            <w:pPr>
              <w:snapToGrid w:val="0"/>
              <w:spacing w:line="240" w:lineRule="atLeast"/>
              <w:jc w:val="left"/>
              <w:textAlignment w:val="baseline"/>
              <w:rPr>
                <w:rFonts w:ascii="宋体" w:hAnsi="宋体" w:eastAsia="宋体"/>
                <w:sz w:val="20"/>
              </w:rPr>
            </w:pPr>
            <w:r>
              <w:rPr>
                <w:rFonts w:ascii="宋体" w:hAnsi="宋体" w:eastAsia="宋体"/>
              </w:rPr>
              <w:t>ISBN</w:t>
            </w:r>
            <w:r>
              <w:rPr>
                <w:rFonts w:hint="eastAsia" w:ascii="宋体" w:hAnsi="宋体" w:eastAsia="宋体" w:cs="宋体"/>
              </w:rPr>
              <w:t>：</w:t>
            </w:r>
            <w:r>
              <w:rPr>
                <w:rFonts w:ascii="宋体" w:hAnsi="宋体" w:eastAsia="宋体"/>
              </w:rPr>
              <w:t>978</w:t>
            </w:r>
            <w:r>
              <w:rPr>
                <w:rFonts w:hint="eastAsia" w:ascii="宋体" w:hAnsi="宋体" w:eastAsia="宋体"/>
              </w:rPr>
              <w:t>7562292579</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widowControl/>
              <w:jc w:val="center"/>
              <w:textAlignment w:val="baseline"/>
              <w:rPr>
                <w:rFonts w:ascii="宋体" w:hAnsi="宋体" w:eastAsia="宋体" w:cs="宋体"/>
                <w:kern w:val="0"/>
                <w:sz w:val="20"/>
                <w:szCs w:val="21"/>
              </w:rPr>
            </w:pPr>
            <w:r>
              <w:rPr>
                <w:rFonts w:hint="eastAsia" w:ascii="宋体" w:hAnsi="宋体" w:eastAsia="宋体" w:cs="宋体"/>
                <w:kern w:val="0"/>
                <w:szCs w:val="21"/>
              </w:rPr>
              <w:t>信息管理与信息系统基础综合</w:t>
            </w:r>
          </w:p>
          <w:p>
            <w:pPr>
              <w:spacing w:line="400" w:lineRule="exact"/>
              <w:jc w:val="center"/>
              <w:textAlignment w:val="baseline"/>
              <w:rPr>
                <w:rFonts w:ascii="宋体" w:hAnsi="宋体" w:eastAsia="宋体"/>
                <w:sz w:val="20"/>
              </w:rPr>
            </w:pPr>
            <w:r>
              <w:rPr>
                <w:rFonts w:hint="eastAsia" w:ascii="宋体" w:hAnsi="宋体" w:eastAsia="宋体" w:cs="宋体"/>
                <w:kern w:val="0"/>
                <w:szCs w:val="21"/>
              </w:rPr>
              <w:t>（数据库系统概论（Access）、计算机基础）</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cs="宋体"/>
              </w:rPr>
              <w:t>《</w:t>
            </w:r>
            <w:r>
              <w:rPr>
                <w:rFonts w:ascii="宋体" w:hAnsi="宋体" w:eastAsia="宋体"/>
              </w:rPr>
              <w:t>Access</w:t>
            </w:r>
            <w:r>
              <w:rPr>
                <w:rFonts w:hint="eastAsia" w:ascii="宋体" w:hAnsi="宋体" w:eastAsia="宋体"/>
              </w:rPr>
              <w:t xml:space="preserve"> 2010</w:t>
            </w:r>
            <w:r>
              <w:rPr>
                <w:rFonts w:hint="eastAsia" w:ascii="宋体" w:hAnsi="宋体" w:eastAsia="宋体" w:cs="宋体"/>
              </w:rPr>
              <w:t>数据库基础与应用教程》（第2版），陈薇薇、冯莹莹、巫张英，人民邮电出版社</w:t>
            </w:r>
            <w:r>
              <w:rPr>
                <w:rFonts w:ascii="宋体" w:hAnsi="宋体" w:eastAsia="宋体"/>
              </w:rPr>
              <w:t xml:space="preserve"> ISBN</w:t>
            </w:r>
            <w:r>
              <w:rPr>
                <w:rFonts w:hint="eastAsia" w:ascii="宋体" w:hAnsi="宋体" w:eastAsia="宋体" w:cs="宋体"/>
              </w:rPr>
              <w:t>：</w:t>
            </w:r>
            <w:r>
              <w:rPr>
                <w:rFonts w:ascii="宋体" w:hAnsi="宋体" w:eastAsia="宋体"/>
              </w:rPr>
              <w:t>9787115</w:t>
            </w:r>
            <w:r>
              <w:rPr>
                <w:rFonts w:hint="eastAsia" w:ascii="宋体" w:hAnsi="宋体" w:eastAsia="宋体"/>
              </w:rPr>
              <w:t>462831</w:t>
            </w:r>
          </w:p>
          <w:p>
            <w:pPr>
              <w:snapToGrid w:val="0"/>
              <w:spacing w:line="240" w:lineRule="atLeast"/>
              <w:jc w:val="left"/>
              <w:textAlignment w:val="baseline"/>
              <w:rPr>
                <w:rFonts w:ascii="宋体" w:hAnsi="宋体" w:eastAsia="宋体"/>
                <w:sz w:val="20"/>
              </w:rPr>
            </w:pPr>
            <w:r>
              <w:rPr>
                <w:rFonts w:hint="eastAsia" w:ascii="宋体" w:hAnsi="宋体" w:eastAsia="宋体" w:cs="宋体"/>
              </w:rPr>
              <w:t>《</w:t>
            </w:r>
            <w:r>
              <w:rPr>
                <w:rFonts w:hint="eastAsia" w:ascii="宋体" w:hAnsi="宋体" w:eastAsia="宋体"/>
              </w:rPr>
              <w:t>计算机基础一体化教程</w:t>
            </w:r>
            <w:r>
              <w:rPr>
                <w:rFonts w:hint="eastAsia" w:ascii="宋体" w:hAnsi="宋体" w:eastAsia="宋体" w:cs="宋体"/>
              </w:rPr>
              <w:t>》，吴晓凌、周方</w:t>
            </w:r>
            <w:r>
              <w:rPr>
                <w:rFonts w:hint="eastAsia" w:ascii="宋体" w:hAnsi="宋体" w:eastAsia="宋体"/>
              </w:rPr>
              <w:t>，华中师范大</w:t>
            </w:r>
            <w:r>
              <w:rPr>
                <w:rFonts w:hint="eastAsia" w:ascii="宋体" w:hAnsi="宋体" w:eastAsia="宋体" w:cs="宋体"/>
              </w:rPr>
              <w:t>学出版社，</w:t>
            </w:r>
          </w:p>
          <w:p>
            <w:pPr>
              <w:snapToGrid w:val="0"/>
              <w:spacing w:line="240" w:lineRule="atLeast"/>
              <w:jc w:val="left"/>
              <w:textAlignment w:val="baseline"/>
              <w:rPr>
                <w:rFonts w:ascii="宋体" w:hAnsi="宋体" w:eastAsia="宋体"/>
                <w:sz w:val="20"/>
              </w:rPr>
            </w:pPr>
            <w:r>
              <w:rPr>
                <w:rFonts w:ascii="宋体" w:hAnsi="宋体" w:eastAsia="宋体"/>
              </w:rPr>
              <w:t>ISBN</w:t>
            </w:r>
            <w:r>
              <w:rPr>
                <w:rFonts w:hint="eastAsia" w:ascii="宋体" w:hAnsi="宋体" w:eastAsia="宋体" w:cs="宋体"/>
              </w:rPr>
              <w:t>：</w:t>
            </w:r>
            <w:r>
              <w:rPr>
                <w:rFonts w:ascii="宋体" w:hAnsi="宋体" w:eastAsia="宋体"/>
              </w:rPr>
              <w:t>978</w:t>
            </w:r>
            <w:r>
              <w:rPr>
                <w:rFonts w:hint="eastAsia" w:ascii="宋体" w:hAnsi="宋体" w:eastAsia="宋体"/>
              </w:rPr>
              <w:t>7562292579</w:t>
            </w:r>
          </w:p>
        </w:tc>
      </w:tr>
      <w:tr>
        <w:tblPrEx>
          <w:tblCellMar>
            <w:top w:w="0" w:type="dxa"/>
            <w:left w:w="0" w:type="dxa"/>
            <w:bottom w:w="0" w:type="dxa"/>
            <w:right w:w="0" w:type="dxa"/>
          </w:tblCellMar>
        </w:tblPrEx>
        <w:trPr>
          <w:trHeight w:val="284" w:hRule="atLeast"/>
          <w:jc w:val="center"/>
        </w:trPr>
        <w:tc>
          <w:tcPr>
            <w:tcW w:w="283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室内手绘快题设计</w:t>
            </w:r>
          </w:p>
          <w:p>
            <w:pPr>
              <w:spacing w:line="400" w:lineRule="exact"/>
              <w:jc w:val="center"/>
              <w:textAlignment w:val="baseline"/>
              <w:rPr>
                <w:rFonts w:ascii="宋体" w:hAnsi="宋体" w:eastAsia="宋体"/>
                <w:sz w:val="20"/>
              </w:rPr>
            </w:pPr>
            <w:r>
              <w:rPr>
                <w:rFonts w:hint="eastAsia" w:ascii="宋体" w:hAnsi="宋体" w:eastAsia="宋体" w:cs="宋体"/>
              </w:rPr>
              <w:t>（设计知识综合应用）</w:t>
            </w:r>
          </w:p>
        </w:tc>
        <w:tc>
          <w:tcPr>
            <w:tcW w:w="6387"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sz w:val="20"/>
              </w:rPr>
            </w:pPr>
            <w:r>
              <w:rPr>
                <w:rFonts w:hint="eastAsia" w:ascii="宋体" w:hAnsi="宋体" w:eastAsia="宋体" w:cs="宋体"/>
              </w:rPr>
              <w:t>《室内设计手绘技法与快题表现》，曾添主编，人民邮电出版社，</w:t>
            </w:r>
            <w:r>
              <w:rPr>
                <w:rFonts w:ascii="宋体" w:hAnsi="宋体" w:eastAsia="宋体"/>
              </w:rPr>
              <w:t>2017</w:t>
            </w:r>
            <w:r>
              <w:rPr>
                <w:rFonts w:hint="eastAsia" w:ascii="宋体" w:hAnsi="宋体" w:eastAsia="宋体" w:cs="宋体"/>
              </w:rPr>
              <w:t>年版，</w:t>
            </w:r>
            <w:r>
              <w:rPr>
                <w:rFonts w:ascii="宋体" w:hAnsi="宋体" w:eastAsia="宋体"/>
              </w:rPr>
              <w:t>ISBN</w:t>
            </w:r>
            <w:r>
              <w:rPr>
                <w:rFonts w:hint="eastAsia" w:ascii="宋体" w:hAnsi="宋体" w:eastAsia="宋体" w:cs="宋体"/>
              </w:rPr>
              <w:t>：</w:t>
            </w:r>
            <w:r>
              <w:rPr>
                <w:rFonts w:ascii="宋体" w:hAnsi="宋体" w:eastAsia="宋体"/>
              </w:rPr>
              <w:t>9787115464873</w:t>
            </w:r>
          </w:p>
        </w:tc>
      </w:tr>
      <w:tr>
        <w:tblPrEx>
          <w:tblCellMar>
            <w:top w:w="0" w:type="dxa"/>
            <w:left w:w="0" w:type="dxa"/>
            <w:bottom w:w="0" w:type="dxa"/>
            <w:right w:w="0" w:type="dxa"/>
          </w:tblCellMar>
        </w:tblPrEx>
        <w:trPr>
          <w:trHeight w:val="284" w:hRule="atLeast"/>
          <w:jc w:val="center"/>
        </w:trPr>
        <w:tc>
          <w:tcPr>
            <w:tcW w:w="2830"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widowControl/>
              <w:jc w:val="center"/>
              <w:textAlignment w:val="baseline"/>
              <w:rPr>
                <w:rFonts w:ascii="宋体" w:hAnsi="宋体" w:eastAsia="宋体"/>
                <w:bCs/>
                <w:sz w:val="20"/>
              </w:rPr>
            </w:pPr>
            <w:r>
              <w:rPr>
                <w:rFonts w:hint="eastAsia" w:ascii="宋体" w:hAnsi="宋体" w:eastAsia="宋体"/>
                <w:bCs/>
              </w:rPr>
              <w:t>平面手绘快题设计</w:t>
            </w:r>
          </w:p>
          <w:p>
            <w:pPr>
              <w:spacing w:line="400" w:lineRule="exact"/>
              <w:jc w:val="center"/>
              <w:textAlignment w:val="baseline"/>
              <w:rPr>
                <w:rFonts w:ascii="宋体" w:hAnsi="宋体" w:eastAsia="宋体" w:cs="宋体"/>
                <w:sz w:val="20"/>
              </w:rPr>
            </w:pPr>
            <w:r>
              <w:rPr>
                <w:rFonts w:hint="eastAsia" w:ascii="宋体" w:hAnsi="宋体" w:eastAsia="宋体"/>
                <w:bCs/>
              </w:rPr>
              <w:t>（设计知识综合应用）</w:t>
            </w:r>
          </w:p>
        </w:tc>
        <w:tc>
          <w:tcPr>
            <w:tcW w:w="6387" w:type="dxa"/>
            <w:tcBorders>
              <w:top w:val="single" w:color="auto" w:sz="4" w:space="0"/>
              <w:left w:val="single" w:color="000000" w:sz="4" w:space="0"/>
              <w:bottom w:val="single" w:color="auto"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cs="宋体"/>
                <w:bCs/>
                <w:sz w:val="20"/>
              </w:rPr>
            </w:pPr>
            <w:r>
              <w:rPr>
                <w:rFonts w:hint="eastAsia" w:ascii="宋体" w:hAnsi="宋体" w:eastAsia="宋体" w:cs="宋体"/>
                <w:bCs/>
              </w:rPr>
              <w:t>《100种创意搞定手绘POP》，简仁吉编绘，辽宁科学技术出版社，2019年2月，ISBN：</w:t>
            </w:r>
            <w:r>
              <w:rPr>
                <w:rFonts w:hint="eastAsia" w:ascii="宋体" w:hAnsi="宋体" w:eastAsia="宋体" w:cs="宋体"/>
                <w:bCs/>
                <w:shd w:val="clear" w:color="auto" w:fill="FFFFFF"/>
              </w:rPr>
              <w:t>9787559110237</w:t>
            </w:r>
          </w:p>
          <w:p>
            <w:pPr>
              <w:snapToGrid w:val="0"/>
              <w:spacing w:line="240" w:lineRule="atLeast"/>
              <w:jc w:val="left"/>
              <w:textAlignment w:val="baseline"/>
              <w:rPr>
                <w:rFonts w:ascii="宋体" w:hAnsi="宋体" w:eastAsia="宋体" w:cs="宋体"/>
                <w:bCs/>
                <w:sz w:val="20"/>
                <w:shd w:val="clear" w:color="auto" w:fill="FFFFFF"/>
              </w:rPr>
            </w:pPr>
            <w:r>
              <w:rPr>
                <w:rFonts w:hint="eastAsia" w:ascii="宋体" w:hAnsi="宋体" w:eastAsia="宋体" w:cs="宋体"/>
                <w:bCs/>
                <w:shd w:val="clear" w:color="auto" w:fill="FFFFFF"/>
              </w:rPr>
              <w:t>《黑白装饰画》，爱林博悦编著，人民邮电出版社，2019年5月，</w:t>
            </w:r>
          </w:p>
          <w:p>
            <w:pPr>
              <w:snapToGrid w:val="0"/>
              <w:spacing w:line="240" w:lineRule="atLeast"/>
              <w:jc w:val="left"/>
              <w:textAlignment w:val="baseline"/>
              <w:rPr>
                <w:rFonts w:ascii="宋体" w:hAnsi="宋体" w:eastAsia="宋体" w:cs="宋体"/>
                <w:bCs/>
                <w:sz w:val="20"/>
                <w:shd w:val="clear" w:color="auto" w:fill="FFFFFF"/>
              </w:rPr>
            </w:pPr>
            <w:r>
              <w:rPr>
                <w:rFonts w:hint="eastAsia" w:ascii="宋体" w:hAnsi="宋体" w:eastAsia="宋体" w:cs="宋体"/>
                <w:bCs/>
                <w:shd w:val="clear" w:color="auto" w:fill="FFFFFF"/>
              </w:rPr>
              <w:t>ISBN：9787115498397</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cs="宋体"/>
              </w:rPr>
              <w:t>体育基础综合</w:t>
            </w:r>
          </w:p>
          <w:p>
            <w:pPr>
              <w:widowControl/>
              <w:spacing w:line="400" w:lineRule="exact"/>
              <w:jc w:val="center"/>
              <w:textAlignment w:val="baseline"/>
              <w:rPr>
                <w:rFonts w:ascii="宋体" w:hAnsi="宋体" w:eastAsia="宋体"/>
                <w:sz w:val="20"/>
              </w:rPr>
            </w:pPr>
            <w:r>
              <w:rPr>
                <w:rFonts w:hint="eastAsia" w:ascii="宋体" w:hAnsi="宋体" w:eastAsia="宋体" w:cs="宋体"/>
              </w:rPr>
              <w:t>（运动解剖学、运动生理学）</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《运动解剖学》第三版</w:t>
            </w:r>
            <w:r>
              <w:rPr>
                <w:rFonts w:ascii="宋体" w:hAnsi="宋体" w:eastAsia="宋体"/>
              </w:rPr>
              <w:t xml:space="preserve">, </w:t>
            </w:r>
            <w:r>
              <w:rPr>
                <w:rFonts w:hint="eastAsia" w:ascii="宋体" w:hAnsi="宋体" w:eastAsia="宋体"/>
              </w:rPr>
              <w:t>李世昌</w:t>
            </w:r>
            <w:r>
              <w:rPr>
                <w:rFonts w:ascii="宋体" w:hAnsi="宋体" w:eastAsia="宋体"/>
              </w:rPr>
              <w:t>,</w:t>
            </w:r>
            <w:r>
              <w:rPr>
                <w:rFonts w:hint="eastAsia" w:ascii="宋体" w:hAnsi="宋体" w:eastAsia="宋体"/>
              </w:rPr>
              <w:t>高等教育出版社，</w:t>
            </w:r>
            <w:r>
              <w:rPr>
                <w:rFonts w:ascii="宋体" w:hAnsi="宋体" w:eastAsia="宋体"/>
              </w:rPr>
              <w:t>201</w:t>
            </w:r>
            <w:r>
              <w:rPr>
                <w:rFonts w:hint="eastAsia" w:ascii="宋体" w:hAnsi="宋体" w:eastAsia="宋体"/>
              </w:rPr>
              <w:t>5年1月（2020.6重印）</w:t>
            </w:r>
            <w:r>
              <w:rPr>
                <w:rFonts w:ascii="宋体" w:hAnsi="宋体" w:eastAsia="宋体"/>
              </w:rPr>
              <w:t>,ISBN</w:t>
            </w:r>
            <w:r>
              <w:rPr>
                <w:rFonts w:hint="eastAsia" w:ascii="宋体" w:hAnsi="宋体" w:eastAsia="宋体"/>
              </w:rPr>
              <w:t>：</w:t>
            </w:r>
            <w:r>
              <w:rPr>
                <w:rFonts w:ascii="宋体" w:hAnsi="宋体" w:eastAsia="宋体"/>
              </w:rPr>
              <w:t>978</w:t>
            </w:r>
            <w:r>
              <w:rPr>
                <w:rFonts w:hint="eastAsia" w:ascii="宋体" w:hAnsi="宋体" w:eastAsia="宋体"/>
              </w:rPr>
              <w:t>-</w:t>
            </w:r>
            <w:r>
              <w:rPr>
                <w:rFonts w:ascii="宋体" w:hAnsi="宋体" w:eastAsia="宋体"/>
              </w:rPr>
              <w:t>7</w:t>
            </w:r>
            <w:r>
              <w:rPr>
                <w:rFonts w:hint="eastAsia" w:ascii="宋体" w:hAnsi="宋体" w:eastAsia="宋体"/>
              </w:rPr>
              <w:t>-04-041922-1</w:t>
            </w:r>
          </w:p>
          <w:p>
            <w:pPr>
              <w:snapToGrid w:val="0"/>
              <w:spacing w:line="240" w:lineRule="atLeast"/>
              <w:jc w:val="left"/>
              <w:textAlignment w:val="baseline"/>
              <w:rPr>
                <w:rFonts w:ascii="宋体" w:hAnsi="宋体" w:eastAsia="宋体"/>
                <w:sz w:val="20"/>
              </w:rPr>
            </w:pPr>
            <w:r>
              <w:rPr>
                <w:rFonts w:hint="eastAsia" w:ascii="宋体" w:hAnsi="宋体" w:eastAsia="宋体"/>
              </w:rPr>
              <w:t>《运动生理学》第三版，邓树勋，高等教育出版社，2015.4（2019.12重印），</w:t>
            </w:r>
            <w:r>
              <w:rPr>
                <w:rFonts w:ascii="宋体" w:hAnsi="宋体" w:eastAsia="宋体"/>
              </w:rPr>
              <w:t>ISBN</w:t>
            </w:r>
            <w:r>
              <w:rPr>
                <w:rFonts w:hint="eastAsia" w:ascii="宋体" w:hAnsi="宋体" w:eastAsia="宋体"/>
              </w:rPr>
              <w:t>：</w:t>
            </w:r>
            <w:r>
              <w:rPr>
                <w:rFonts w:ascii="宋体" w:hAnsi="宋体" w:eastAsia="宋体"/>
              </w:rPr>
              <w:t>9787040423099</w:t>
            </w:r>
          </w:p>
        </w:tc>
      </w:tr>
      <w:tr>
        <w:tblPrEx>
          <w:tblCellMar>
            <w:top w:w="0" w:type="dxa"/>
            <w:left w:w="0" w:type="dxa"/>
            <w:bottom w:w="0" w:type="dxa"/>
            <w:right w:w="0" w:type="dxa"/>
          </w:tblCellMar>
        </w:tblPrEx>
        <w:trPr>
          <w:trHeight w:val="284" w:hRule="atLeast"/>
          <w:jc w:val="center"/>
        </w:trPr>
        <w:tc>
          <w:tcPr>
            <w:tcW w:w="2830"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pacing w:line="400" w:lineRule="exact"/>
              <w:jc w:val="center"/>
              <w:textAlignment w:val="baseline"/>
              <w:rPr>
                <w:rFonts w:ascii="宋体" w:hAnsi="宋体" w:eastAsia="宋体"/>
                <w:sz w:val="20"/>
              </w:rPr>
            </w:pPr>
            <w:r>
              <w:rPr>
                <w:rFonts w:hint="eastAsia" w:ascii="宋体" w:hAnsi="宋体" w:eastAsia="宋体"/>
              </w:rPr>
              <w:t>英语基础综合</w:t>
            </w:r>
          </w:p>
          <w:p>
            <w:pPr>
              <w:spacing w:line="400" w:lineRule="exact"/>
              <w:jc w:val="center"/>
              <w:textAlignment w:val="baseline"/>
              <w:rPr>
                <w:rFonts w:ascii="宋体" w:hAnsi="宋体" w:eastAsia="宋体"/>
                <w:sz w:val="20"/>
              </w:rPr>
            </w:pPr>
            <w:r>
              <w:rPr>
                <w:rFonts w:hint="eastAsia" w:ascii="宋体" w:hAnsi="宋体" w:eastAsia="宋体"/>
              </w:rPr>
              <w:t>（综合英语、语法）</w:t>
            </w:r>
          </w:p>
        </w:tc>
        <w:tc>
          <w:tcPr>
            <w:tcW w:w="638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snapToGrid w:val="0"/>
              <w:spacing w:line="240" w:lineRule="atLeast"/>
              <w:jc w:val="left"/>
              <w:textAlignment w:val="baseline"/>
              <w:rPr>
                <w:rFonts w:ascii="宋体" w:hAnsi="宋体" w:eastAsia="宋体"/>
                <w:sz w:val="20"/>
              </w:rPr>
            </w:pPr>
            <w:r>
              <w:rPr>
                <w:rFonts w:hint="eastAsia" w:ascii="宋体" w:hAnsi="宋体" w:eastAsia="宋体"/>
              </w:rPr>
              <w:t xml:space="preserve">《应用英语综合1》2012年7月第一版，邹申主编，上海外语教育出版社，ISBN: </w:t>
            </w:r>
            <w:r>
              <w:rPr>
                <w:rFonts w:ascii="宋体" w:hAnsi="宋体" w:eastAsia="宋体"/>
              </w:rPr>
              <w:t>9787</w:t>
            </w:r>
            <w:r>
              <w:rPr>
                <w:rFonts w:hint="eastAsia" w:ascii="宋体" w:hAnsi="宋体" w:eastAsia="宋体"/>
              </w:rPr>
              <w:t>544626415/H.1222</w:t>
            </w:r>
          </w:p>
          <w:p>
            <w:pPr>
              <w:snapToGrid w:val="0"/>
              <w:spacing w:line="240" w:lineRule="atLeast"/>
              <w:jc w:val="left"/>
              <w:textAlignment w:val="baseline"/>
              <w:rPr>
                <w:rFonts w:ascii="宋体" w:hAnsi="宋体" w:eastAsia="宋体"/>
                <w:sz w:val="20"/>
              </w:rPr>
            </w:pPr>
            <w:r>
              <w:rPr>
                <w:rFonts w:hint="eastAsia" w:ascii="宋体" w:hAnsi="宋体" w:eastAsia="宋体"/>
              </w:rPr>
              <w:t xml:space="preserve">《应用英语综合2》2012年7月第一版，邹申主编，上海外语教育出版社，ISBN: </w:t>
            </w:r>
            <w:r>
              <w:rPr>
                <w:rFonts w:ascii="宋体" w:hAnsi="宋体" w:eastAsia="宋体"/>
              </w:rPr>
              <w:t>9787</w:t>
            </w:r>
            <w:r>
              <w:rPr>
                <w:rFonts w:hint="eastAsia" w:ascii="宋体" w:hAnsi="宋体" w:eastAsia="宋体"/>
              </w:rPr>
              <w:t>544626385/H.1219</w:t>
            </w:r>
          </w:p>
          <w:p>
            <w:pPr>
              <w:snapToGrid w:val="0"/>
              <w:spacing w:line="240" w:lineRule="atLeast"/>
              <w:jc w:val="left"/>
              <w:textAlignment w:val="baseline"/>
              <w:rPr>
                <w:rFonts w:ascii="宋体" w:hAnsi="宋体" w:eastAsia="宋体"/>
                <w:sz w:val="20"/>
              </w:rPr>
            </w:pPr>
            <w:r>
              <w:rPr>
                <w:rFonts w:hint="eastAsia" w:ascii="宋体" w:hAnsi="宋体" w:eastAsia="宋体"/>
              </w:rPr>
              <w:t xml:space="preserve">《新编英语语法教程》2017年9月第一版，章振邦主编，上海外语教育出版社，ISBN: </w:t>
            </w:r>
            <w:r>
              <w:rPr>
                <w:rFonts w:ascii="宋体" w:hAnsi="宋体" w:eastAsia="宋体"/>
              </w:rPr>
              <w:t>9787</w:t>
            </w:r>
            <w:r>
              <w:rPr>
                <w:rFonts w:hint="eastAsia" w:ascii="宋体" w:hAnsi="宋体" w:eastAsia="宋体"/>
              </w:rPr>
              <w:t>544649094/H.2164</w:t>
            </w:r>
          </w:p>
        </w:tc>
      </w:tr>
    </w:tbl>
    <w:p>
      <w:pPr>
        <w:widowControl/>
        <w:spacing w:line="560" w:lineRule="exact"/>
        <w:textAlignment w:val="baseline"/>
        <w:rPr>
          <w:rFonts w:ascii="仿宋_GB2312" w:hAnsi="黑体" w:eastAsia="仿宋_GB2312" w:cs="仿宋_GB2312"/>
          <w:b/>
          <w:color w:val="000000"/>
          <w:sz w:val="32"/>
          <w:szCs w:val="32"/>
        </w:rPr>
      </w:pPr>
    </w:p>
    <w:p>
      <w:pPr>
        <w:widowControl/>
        <w:jc w:val="left"/>
        <w:textAlignment w:val="baseline"/>
        <w:rPr>
          <w:rFonts w:ascii="仿宋_GB2312" w:hAnsi="黑体" w:eastAsia="仿宋_GB2312" w:cs="仿宋_GB2312"/>
          <w:b/>
          <w:color w:val="000000"/>
          <w:sz w:val="32"/>
          <w:szCs w:val="32"/>
        </w:rPr>
      </w:pPr>
      <w:r>
        <w:rPr>
          <w:rFonts w:ascii="仿宋_GB2312" w:hAnsi="黑体" w:eastAsia="仿宋_GB2312" w:cs="仿宋_GB2312"/>
          <w:b/>
          <w:color w:val="000000"/>
          <w:sz w:val="32"/>
          <w:szCs w:val="32"/>
        </w:rPr>
        <w:br w:type="page"/>
      </w:r>
    </w:p>
    <w:p>
      <w:pPr>
        <w:spacing w:line="400" w:lineRule="exact"/>
        <w:jc w:val="left"/>
        <w:textAlignment w:val="baseline"/>
        <w:rPr>
          <w:rFonts w:ascii="黑体" w:hAnsi="黑体" w:eastAsia="黑体"/>
          <w:sz w:val="32"/>
        </w:rPr>
      </w:pPr>
      <w:r>
        <w:rPr>
          <w:rFonts w:hint="eastAsia" w:ascii="黑体" w:hAnsi="黑体" w:eastAsia="黑体"/>
          <w:sz w:val="32"/>
        </w:rPr>
        <w:t>附件</w:t>
      </w:r>
      <w:r>
        <w:rPr>
          <w:rFonts w:ascii="黑体" w:hAnsi="黑体" w:eastAsia="黑体"/>
          <w:sz w:val="32"/>
        </w:rPr>
        <w:t>4</w:t>
      </w:r>
    </w:p>
    <w:p>
      <w:pPr>
        <w:spacing w:line="600" w:lineRule="exact"/>
        <w:jc w:val="center"/>
        <w:textAlignment w:val="baseline"/>
        <w:rPr>
          <w:rFonts w:ascii="方正小标宋简体" w:hAnsi="宋体" w:eastAsia="方正小标宋简体"/>
          <w:sz w:val="32"/>
        </w:rPr>
      </w:pPr>
      <w:r>
        <w:rPr>
          <w:rFonts w:ascii="方正小标宋简体" w:hAnsi="宋体" w:eastAsia="方正小标宋简体"/>
          <w:sz w:val="32"/>
        </w:rPr>
        <w:t>2022年普通专升本《大学英语》考试大纲</w:t>
      </w:r>
      <w:r>
        <w:rPr>
          <w:rFonts w:hint="eastAsia" w:ascii="方正小标宋简体" w:hAnsi="宋体" w:eastAsia="方正小标宋简体"/>
          <w:sz w:val="32"/>
        </w:rPr>
        <w:t>（普通考生）</w:t>
      </w:r>
    </w:p>
    <w:p>
      <w:pPr>
        <w:spacing w:line="400" w:lineRule="exact"/>
        <w:ind w:firstLine="600" w:firstLineChars="200"/>
        <w:jc w:val="left"/>
        <w:textAlignment w:val="baseline"/>
        <w:rPr>
          <w:rFonts w:ascii="仿宋_GB2312" w:hAnsi="仿宋" w:eastAsia="仿宋_GB2312" w:cs="仿宋"/>
          <w:sz w:val="30"/>
          <w:szCs w:val="21"/>
        </w:rPr>
      </w:pPr>
      <w:r>
        <w:rPr>
          <w:rFonts w:hint="eastAsia" w:ascii="仿宋_GB2312" w:hAnsi="仿宋" w:eastAsia="仿宋_GB2312" w:cs="仿宋"/>
          <w:color w:val="000000"/>
          <w:sz w:val="30"/>
          <w:szCs w:val="21"/>
        </w:rPr>
        <w:t>本考试的目的是选拔部分高职高专毕业生升入普通本科高校继续进行相关专业本科阶段</w:t>
      </w:r>
      <w:r>
        <w:rPr>
          <w:rFonts w:hint="eastAsia" w:ascii="仿宋_GB2312" w:hAnsi="仿宋" w:eastAsia="仿宋_GB2312" w:cs="仿宋"/>
          <w:sz w:val="30"/>
          <w:szCs w:val="21"/>
        </w:rPr>
        <w:t>的学习，考查考生的英语语法和词汇知识以及运用英语的基本技能，既测试考生的语言基础，也测试考生的单项技能。</w:t>
      </w:r>
    </w:p>
    <w:p>
      <w:pPr>
        <w:spacing w:line="400" w:lineRule="exact"/>
        <w:ind w:firstLine="640"/>
        <w:jc w:val="left"/>
        <w:textAlignment w:val="baseline"/>
        <w:rPr>
          <w:rFonts w:ascii="仿宋_GB2312" w:hAnsi="黑体" w:eastAsia="仿宋_GB2312" w:cs="黑体"/>
          <w:color w:val="000000"/>
          <w:sz w:val="30"/>
          <w:szCs w:val="21"/>
        </w:rPr>
      </w:pPr>
      <w:r>
        <w:rPr>
          <w:rFonts w:hint="eastAsia" w:ascii="黑体" w:hAnsi="黑体" w:eastAsia="黑体" w:cs="黑体"/>
          <w:color w:val="000000"/>
          <w:sz w:val="30"/>
          <w:szCs w:val="21"/>
        </w:rPr>
        <w:t>一、考试科目名称：</w:t>
      </w:r>
      <w:r>
        <w:rPr>
          <w:rFonts w:hint="eastAsia" w:ascii="仿宋_GB2312" w:hAnsi="仿宋" w:eastAsia="仿宋_GB2312" w:cs="仿宋"/>
          <w:color w:val="000000"/>
          <w:sz w:val="30"/>
          <w:szCs w:val="21"/>
        </w:rPr>
        <w:t>《大学英语》</w:t>
      </w:r>
    </w:p>
    <w:p>
      <w:pPr>
        <w:spacing w:line="400" w:lineRule="exact"/>
        <w:ind w:firstLine="640"/>
        <w:jc w:val="left"/>
        <w:textAlignment w:val="baseline"/>
        <w:rPr>
          <w:rFonts w:ascii="仿宋_GB2312" w:hAnsi="黑体" w:eastAsia="仿宋_GB2312" w:cs="黑体"/>
          <w:color w:val="000000"/>
          <w:sz w:val="30"/>
          <w:szCs w:val="21"/>
        </w:rPr>
      </w:pPr>
      <w:r>
        <w:rPr>
          <w:rFonts w:hint="eastAsia" w:ascii="黑体" w:hAnsi="黑体" w:eastAsia="黑体" w:cs="黑体"/>
          <w:color w:val="000000"/>
          <w:sz w:val="30"/>
          <w:szCs w:val="21"/>
        </w:rPr>
        <w:t>二、考试方式：</w:t>
      </w:r>
      <w:r>
        <w:rPr>
          <w:rFonts w:hint="eastAsia" w:ascii="仿宋_GB2312" w:hAnsi="仿宋" w:eastAsia="仿宋_GB2312" w:cs="仿宋"/>
          <w:color w:val="000000"/>
          <w:sz w:val="30"/>
          <w:szCs w:val="21"/>
        </w:rPr>
        <w:t>笔试、闭卷</w:t>
      </w:r>
    </w:p>
    <w:p>
      <w:pPr>
        <w:spacing w:line="400" w:lineRule="exact"/>
        <w:ind w:firstLine="640"/>
        <w:jc w:val="left"/>
        <w:textAlignment w:val="baseline"/>
        <w:rPr>
          <w:rFonts w:ascii="仿宋_GB2312" w:hAnsi="黑体" w:eastAsia="仿宋_GB2312" w:cs="黑体"/>
          <w:color w:val="000000"/>
          <w:sz w:val="30"/>
          <w:szCs w:val="21"/>
        </w:rPr>
      </w:pPr>
      <w:r>
        <w:rPr>
          <w:rFonts w:hint="eastAsia" w:ascii="黑体" w:hAnsi="黑体" w:eastAsia="黑体" w:cs="黑体"/>
          <w:color w:val="000000"/>
          <w:sz w:val="30"/>
          <w:szCs w:val="21"/>
        </w:rPr>
        <w:t>三、考试时间：</w:t>
      </w:r>
      <w:r>
        <w:rPr>
          <w:rFonts w:hint="eastAsia" w:ascii="仿宋_GB2312" w:hAnsi="仿宋" w:eastAsia="仿宋_GB2312" w:cs="仿宋"/>
          <w:color w:val="000000"/>
          <w:sz w:val="30"/>
          <w:szCs w:val="21"/>
        </w:rPr>
        <w:t>120分钟</w:t>
      </w:r>
    </w:p>
    <w:p>
      <w:pPr>
        <w:spacing w:line="400" w:lineRule="exact"/>
        <w:ind w:firstLine="640"/>
        <w:jc w:val="left"/>
        <w:textAlignment w:val="baseline"/>
        <w:rPr>
          <w:rFonts w:ascii="仿宋_GB2312" w:hAnsi="仿宋" w:eastAsia="仿宋_GB2312" w:cs="仿宋"/>
          <w:color w:val="000000"/>
          <w:sz w:val="30"/>
          <w:szCs w:val="21"/>
        </w:rPr>
      </w:pPr>
      <w:r>
        <w:rPr>
          <w:rFonts w:hint="eastAsia" w:ascii="黑体" w:hAnsi="黑体" w:eastAsia="黑体" w:cs="黑体"/>
          <w:color w:val="000000"/>
          <w:sz w:val="30"/>
          <w:szCs w:val="21"/>
        </w:rPr>
        <w:t>四、试卷结构：</w:t>
      </w:r>
      <w:r>
        <w:rPr>
          <w:rFonts w:hint="eastAsia" w:ascii="仿宋_GB2312" w:hAnsi="仿宋" w:eastAsia="仿宋_GB2312" w:cs="仿宋"/>
          <w:color w:val="000000"/>
          <w:sz w:val="30"/>
          <w:szCs w:val="21"/>
        </w:rPr>
        <w:t>总分100分</w:t>
      </w:r>
    </w:p>
    <w:p>
      <w:pPr>
        <w:spacing w:line="400" w:lineRule="exact"/>
        <w:ind w:firstLine="602" w:firstLineChars="200"/>
        <w:jc w:val="left"/>
        <w:textAlignment w:val="baseline"/>
        <w:rPr>
          <w:rFonts w:ascii="仿宋_GB2312" w:hAnsi="仿宋" w:eastAsia="仿宋_GB2312" w:cs="Times New Roman"/>
          <w:b/>
          <w:color w:val="000000"/>
          <w:kern w:val="0"/>
          <w:sz w:val="30"/>
          <w:szCs w:val="21"/>
          <w:lang w:val="zh-CN"/>
        </w:rPr>
      </w:pPr>
      <w:r>
        <w:rPr>
          <w:rFonts w:hint="eastAsia" w:ascii="仿宋_GB2312" w:hAnsi="仿宋" w:eastAsia="仿宋_GB2312" w:cs="Times New Roman"/>
          <w:b/>
          <w:color w:val="000000"/>
          <w:kern w:val="0"/>
          <w:sz w:val="30"/>
          <w:szCs w:val="21"/>
          <w:lang w:val="zh-CN"/>
        </w:rPr>
        <w:t>1.英语应用（共25分）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词汇和语法（其中词汇10小题，语法15小题；每小题1分）</w:t>
      </w:r>
    </w:p>
    <w:p>
      <w:pPr>
        <w:spacing w:line="400" w:lineRule="exact"/>
        <w:ind w:firstLine="602" w:firstLineChars="200"/>
        <w:jc w:val="left"/>
        <w:textAlignment w:val="baseline"/>
        <w:rPr>
          <w:rFonts w:ascii="仿宋_GB2312" w:hAnsi="仿宋" w:eastAsia="仿宋_GB2312" w:cs="Times New Roman"/>
          <w:b/>
          <w:color w:val="000000"/>
          <w:kern w:val="0"/>
          <w:sz w:val="30"/>
          <w:szCs w:val="21"/>
          <w:lang w:val="zh-CN"/>
        </w:rPr>
      </w:pPr>
      <w:r>
        <w:rPr>
          <w:rFonts w:hint="eastAsia" w:ascii="仿宋_GB2312" w:hAnsi="仿宋" w:eastAsia="仿宋_GB2312" w:cs="Times New Roman"/>
          <w:b/>
          <w:color w:val="000000"/>
          <w:kern w:val="0"/>
          <w:sz w:val="30"/>
          <w:szCs w:val="21"/>
          <w:lang w:val="zh-CN"/>
        </w:rPr>
        <w:t>2.阅读理解（共45分）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篇章1.[选择题，4选1]5小题（每小题2分，共10分）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篇章2.[选择题，4选1]5小题（每小题2分，共10分）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篇章3.[选择题，4选1]5小题（每小题2分，共10分）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篇章4.[选择题，4选1]5小题（每小题2分，共10分）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*篇章5.[填充题]5小题（每小题1分，共5分）</w:t>
      </w:r>
    </w:p>
    <w:p>
      <w:pPr>
        <w:spacing w:line="400" w:lineRule="exact"/>
        <w:ind w:firstLine="602" w:firstLineChars="200"/>
        <w:jc w:val="left"/>
        <w:textAlignment w:val="baseline"/>
        <w:rPr>
          <w:rFonts w:ascii="仿宋_GB2312" w:hAnsi="仿宋" w:eastAsia="仿宋_GB2312" w:cs="Times New Roman"/>
          <w:b/>
          <w:color w:val="000000"/>
          <w:kern w:val="0"/>
          <w:sz w:val="30"/>
          <w:szCs w:val="21"/>
          <w:lang w:val="zh-CN"/>
        </w:rPr>
      </w:pPr>
      <w:r>
        <w:rPr>
          <w:rFonts w:hint="eastAsia" w:ascii="仿宋_GB2312" w:hAnsi="仿宋" w:eastAsia="仿宋_GB2312" w:cs="Times New Roman"/>
          <w:b/>
          <w:color w:val="000000"/>
          <w:kern w:val="0"/>
          <w:sz w:val="30"/>
          <w:szCs w:val="21"/>
          <w:lang w:val="zh-CN"/>
        </w:rPr>
        <w:t>3.英译汉（共20分）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单句翻译：[选择题，3选1]5小题（每小题2分，共10分）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段落翻译：1个段落（共10分）</w:t>
      </w:r>
    </w:p>
    <w:p>
      <w:pPr>
        <w:spacing w:line="400" w:lineRule="exact"/>
        <w:ind w:firstLine="602" w:firstLineChars="200"/>
        <w:jc w:val="left"/>
        <w:textAlignment w:val="baseline"/>
        <w:rPr>
          <w:rFonts w:ascii="仿宋_GB2312" w:hAnsi="仿宋" w:eastAsia="仿宋_GB2312" w:cs="Times New Roman"/>
          <w:b/>
          <w:color w:val="000000"/>
          <w:kern w:val="0"/>
          <w:sz w:val="30"/>
          <w:szCs w:val="21"/>
          <w:lang w:val="zh-CN"/>
        </w:rPr>
      </w:pPr>
      <w:r>
        <w:rPr>
          <w:rFonts w:hint="eastAsia" w:ascii="仿宋_GB2312" w:hAnsi="仿宋" w:eastAsia="仿宋_GB2312" w:cs="Times New Roman"/>
          <w:b/>
          <w:color w:val="000000"/>
          <w:kern w:val="0"/>
          <w:sz w:val="30"/>
          <w:szCs w:val="21"/>
          <w:lang w:val="zh-CN"/>
        </w:rPr>
        <w:t>4.写作（共10分）</w:t>
      </w:r>
    </w:p>
    <w:p>
      <w:pPr>
        <w:spacing w:line="400" w:lineRule="exact"/>
        <w:ind w:firstLine="640"/>
        <w:jc w:val="left"/>
        <w:textAlignment w:val="baseline"/>
        <w:rPr>
          <w:rFonts w:ascii="仿宋_GB2312" w:hAnsi="仿宋" w:eastAsia="仿宋_GB2312" w:cs="仿宋"/>
          <w:color w:val="000000"/>
          <w:sz w:val="30"/>
          <w:szCs w:val="21"/>
        </w:rPr>
      </w:pPr>
      <w:r>
        <w:rPr>
          <w:rFonts w:hint="eastAsia" w:ascii="仿宋_GB2312" w:hAnsi="仿宋" w:eastAsia="仿宋_GB2312" w:cs="仿宋"/>
          <w:color w:val="000000"/>
          <w:sz w:val="30"/>
          <w:szCs w:val="21"/>
        </w:rPr>
        <w:t>应用文1篇 (10分)</w:t>
      </w:r>
    </w:p>
    <w:p>
      <w:pPr>
        <w:spacing w:line="400" w:lineRule="exact"/>
        <w:ind w:firstLine="640"/>
        <w:jc w:val="left"/>
        <w:textAlignment w:val="baseline"/>
        <w:rPr>
          <w:rFonts w:ascii="黑体" w:hAnsi="黑体" w:eastAsia="黑体" w:cs="黑体"/>
          <w:color w:val="000000"/>
          <w:sz w:val="30"/>
          <w:szCs w:val="21"/>
        </w:rPr>
      </w:pPr>
      <w:r>
        <w:rPr>
          <w:rFonts w:hint="eastAsia" w:ascii="黑体" w:hAnsi="黑体" w:eastAsia="黑体" w:cs="黑体"/>
          <w:color w:val="000000"/>
          <w:sz w:val="30"/>
          <w:szCs w:val="21"/>
        </w:rPr>
        <w:t>五、考试的基本要求</w:t>
      </w:r>
    </w:p>
    <w:p>
      <w:pPr>
        <w:spacing w:line="400" w:lineRule="exact"/>
        <w:ind w:firstLine="640"/>
        <w:jc w:val="left"/>
        <w:textAlignment w:val="baseline"/>
        <w:rPr>
          <w:rFonts w:ascii="仿宋_GB2312" w:hAnsi="仿宋" w:eastAsia="仿宋_GB2312" w:cs="仿宋"/>
          <w:b/>
          <w:color w:val="000000"/>
          <w:sz w:val="30"/>
          <w:szCs w:val="21"/>
        </w:rPr>
      </w:pPr>
      <w:r>
        <w:rPr>
          <w:rFonts w:hint="eastAsia" w:ascii="仿宋_GB2312" w:hAnsi="仿宋" w:eastAsia="仿宋_GB2312" w:cs="仿宋"/>
          <w:color w:val="000000"/>
          <w:sz w:val="30"/>
          <w:szCs w:val="21"/>
        </w:rPr>
        <w:t>以《高职高专教育英语课程教学基本要求（试行）》中的B级标准（听力部分除外）为基本要求，注重考查学生</w:t>
      </w:r>
      <w:r>
        <w:rPr>
          <w:rFonts w:hint="eastAsia" w:ascii="仿宋_GB2312" w:hAnsi="仿宋" w:eastAsia="仿宋_GB2312" w:cs="仿宋"/>
          <w:sz w:val="30"/>
          <w:szCs w:val="21"/>
        </w:rPr>
        <w:t>实际运用语言的能力。</w:t>
      </w:r>
    </w:p>
    <w:p>
      <w:pPr>
        <w:spacing w:line="400" w:lineRule="exact"/>
        <w:ind w:firstLine="640"/>
        <w:jc w:val="left"/>
        <w:textAlignment w:val="baseline"/>
        <w:rPr>
          <w:rFonts w:ascii="黑体" w:hAnsi="黑体" w:eastAsia="黑体" w:cs="黑体"/>
          <w:color w:val="000000"/>
          <w:sz w:val="30"/>
          <w:szCs w:val="21"/>
        </w:rPr>
      </w:pPr>
      <w:r>
        <w:rPr>
          <w:rFonts w:hint="eastAsia" w:ascii="黑体" w:hAnsi="黑体" w:eastAsia="黑体" w:cs="黑体"/>
          <w:color w:val="000000"/>
          <w:sz w:val="30"/>
          <w:szCs w:val="21"/>
        </w:rPr>
        <w:t>六、考试范围</w:t>
      </w:r>
    </w:p>
    <w:p>
      <w:pPr>
        <w:spacing w:line="400" w:lineRule="exact"/>
        <w:ind w:firstLine="643"/>
        <w:jc w:val="left"/>
        <w:textAlignment w:val="baseline"/>
        <w:rPr>
          <w:rFonts w:ascii="仿宋_GB2312" w:hAnsi="仿宋" w:eastAsia="仿宋_GB2312" w:cs="仿宋"/>
          <w:sz w:val="30"/>
          <w:szCs w:val="21"/>
        </w:rPr>
      </w:pPr>
      <w:r>
        <w:rPr>
          <w:rFonts w:hint="eastAsia" w:ascii="仿宋_GB2312" w:hAnsi="仿宋" w:eastAsia="仿宋_GB2312" w:cs="Times New Roman"/>
          <w:b/>
          <w:color w:val="000000"/>
          <w:kern w:val="0"/>
          <w:sz w:val="30"/>
          <w:szCs w:val="21"/>
          <w:lang w:val="zh-CN"/>
        </w:rPr>
        <w:t>1.词汇。</w:t>
      </w:r>
      <w:r>
        <w:rPr>
          <w:rFonts w:hint="eastAsia" w:ascii="仿宋_GB2312" w:hAnsi="仿宋" w:eastAsia="仿宋_GB2312" w:cs="仿宋"/>
          <w:color w:val="000000"/>
          <w:sz w:val="30"/>
          <w:szCs w:val="21"/>
        </w:rPr>
        <w:t>掌握2500个英语单词以及由这些词构成的常用词组，</w:t>
      </w:r>
      <w:r>
        <w:rPr>
          <w:rFonts w:hint="eastAsia" w:ascii="仿宋_GB2312" w:hAnsi="仿宋" w:eastAsia="仿宋_GB2312" w:cs="仿宋"/>
          <w:sz w:val="30"/>
          <w:szCs w:val="21"/>
        </w:rPr>
        <w:t>能够正确使用其中1500个左右的单词。</w:t>
      </w:r>
    </w:p>
    <w:p>
      <w:pPr>
        <w:spacing w:line="400" w:lineRule="exact"/>
        <w:ind w:firstLine="643"/>
        <w:jc w:val="left"/>
        <w:textAlignment w:val="baseline"/>
        <w:rPr>
          <w:rFonts w:ascii="仿宋_GB2312" w:hAnsi="仿宋" w:eastAsia="仿宋_GB2312" w:cs="仿宋"/>
          <w:sz w:val="30"/>
          <w:szCs w:val="21"/>
        </w:rPr>
      </w:pPr>
      <w:r>
        <w:rPr>
          <w:rFonts w:hint="eastAsia" w:ascii="仿宋_GB2312" w:hAnsi="仿宋" w:eastAsia="仿宋_GB2312" w:cs="Times New Roman"/>
          <w:b/>
          <w:color w:val="000000"/>
          <w:kern w:val="0"/>
          <w:sz w:val="30"/>
          <w:szCs w:val="21"/>
          <w:lang w:val="zh-CN"/>
        </w:rPr>
        <w:t>2.语法。</w:t>
      </w:r>
      <w:r>
        <w:rPr>
          <w:rFonts w:hint="eastAsia" w:ascii="仿宋_GB2312" w:hAnsi="仿宋" w:eastAsia="仿宋_GB2312" w:cs="仿宋"/>
          <w:color w:val="000000"/>
          <w:sz w:val="30"/>
          <w:szCs w:val="21"/>
        </w:rPr>
        <w:t>掌握基本的英语语法规则，</w:t>
      </w:r>
      <w:r>
        <w:rPr>
          <w:rFonts w:hint="eastAsia" w:ascii="仿宋_GB2312" w:hAnsi="仿宋" w:eastAsia="仿宋_GB2312" w:cs="仿宋"/>
          <w:sz w:val="30"/>
          <w:szCs w:val="21"/>
        </w:rPr>
        <w:t>能正确运用英语语法知识。</w:t>
      </w:r>
    </w:p>
    <w:p>
      <w:pPr>
        <w:spacing w:line="400" w:lineRule="exact"/>
        <w:ind w:firstLine="643"/>
        <w:jc w:val="left"/>
        <w:textAlignment w:val="baseline"/>
        <w:rPr>
          <w:rFonts w:ascii="仿宋_GB2312" w:hAnsi="仿宋" w:eastAsia="仿宋_GB2312" w:cs="仿宋"/>
          <w:sz w:val="30"/>
          <w:szCs w:val="21"/>
        </w:rPr>
      </w:pPr>
      <w:r>
        <w:rPr>
          <w:rFonts w:hint="eastAsia" w:ascii="仿宋_GB2312" w:hAnsi="仿宋" w:eastAsia="仿宋_GB2312" w:cs="Times New Roman"/>
          <w:b/>
          <w:color w:val="000000"/>
          <w:kern w:val="0"/>
          <w:sz w:val="30"/>
          <w:szCs w:val="21"/>
          <w:lang w:val="zh-CN"/>
        </w:rPr>
        <w:t>3.阅读。</w:t>
      </w:r>
      <w:r>
        <w:rPr>
          <w:rFonts w:hint="eastAsia" w:ascii="仿宋_GB2312" w:hAnsi="仿宋" w:eastAsia="仿宋_GB2312" w:cs="仿宋"/>
          <w:sz w:val="30"/>
          <w:szCs w:val="21"/>
        </w:rPr>
        <w:t>能正确理解中等难度的一般题材的简短英文材料。在阅读生词不超过总词数3%的英文材料时，阅读速度不低于每分钟50个单词。能基本准确地理解通用的简短实用文字材料，如信函、产品说明等。</w:t>
      </w:r>
    </w:p>
    <w:p>
      <w:pPr>
        <w:spacing w:line="400" w:lineRule="exact"/>
        <w:ind w:firstLine="643"/>
        <w:jc w:val="left"/>
        <w:textAlignment w:val="baseline"/>
        <w:rPr>
          <w:rFonts w:ascii="仿宋_GB2312" w:hAnsi="仿宋" w:eastAsia="仿宋_GB2312" w:cs="仿宋"/>
          <w:sz w:val="30"/>
          <w:szCs w:val="21"/>
        </w:rPr>
      </w:pPr>
      <w:r>
        <w:rPr>
          <w:rFonts w:hint="eastAsia" w:ascii="仿宋_GB2312" w:hAnsi="仿宋" w:eastAsia="仿宋_GB2312" w:cs="Times New Roman"/>
          <w:b/>
          <w:color w:val="000000"/>
          <w:kern w:val="0"/>
          <w:sz w:val="30"/>
          <w:szCs w:val="21"/>
          <w:lang w:val="zh-CN"/>
        </w:rPr>
        <w:t>4.翻译（英译汉）。</w:t>
      </w:r>
      <w:r>
        <w:rPr>
          <w:rFonts w:hint="eastAsia" w:ascii="仿宋_GB2312" w:hAnsi="仿宋" w:eastAsia="仿宋_GB2312" w:cs="仿宋"/>
          <w:color w:val="000000"/>
          <w:sz w:val="30"/>
          <w:szCs w:val="21"/>
        </w:rPr>
        <w:t>能将中等偏易难度的一般</w:t>
      </w:r>
      <w:r>
        <w:rPr>
          <w:rFonts w:hint="eastAsia" w:ascii="仿宋_GB2312" w:hAnsi="仿宋" w:eastAsia="仿宋_GB2312" w:cs="仿宋"/>
          <w:sz w:val="30"/>
          <w:szCs w:val="21"/>
        </w:rPr>
        <w:t>题材的英文材料和对外交往中的一般业务的英文材料译成汉语。理解正确，译文达意，格式恰当、规范。</w:t>
      </w:r>
    </w:p>
    <w:p>
      <w:pPr>
        <w:spacing w:line="400" w:lineRule="exact"/>
        <w:ind w:firstLine="643"/>
        <w:jc w:val="left"/>
        <w:textAlignment w:val="baseline"/>
        <w:rPr>
          <w:rFonts w:ascii="仿宋_GB2312" w:hAnsi="仿宋" w:eastAsia="仿宋_GB2312" w:cs="仿宋"/>
          <w:color w:val="000000"/>
          <w:sz w:val="30"/>
          <w:szCs w:val="21"/>
        </w:rPr>
      </w:pPr>
      <w:r>
        <w:rPr>
          <w:rFonts w:hint="eastAsia" w:ascii="仿宋_GB2312" w:hAnsi="仿宋" w:eastAsia="仿宋_GB2312" w:cs="Times New Roman"/>
          <w:b/>
          <w:color w:val="000000"/>
          <w:kern w:val="0"/>
          <w:sz w:val="30"/>
          <w:szCs w:val="21"/>
          <w:lang w:val="zh-CN"/>
        </w:rPr>
        <w:t>5.写作。</w:t>
      </w:r>
      <w:r>
        <w:rPr>
          <w:rFonts w:hint="eastAsia" w:ascii="仿宋_GB2312" w:hAnsi="仿宋" w:eastAsia="仿宋_GB2312" w:cs="仿宋"/>
          <w:color w:val="000000"/>
          <w:sz w:val="30"/>
          <w:szCs w:val="21"/>
        </w:rPr>
        <w:t>能运用所学词汇和语法用英语写出简短的应用文，如书信、便函、简历、通知、海报等。要求词句基本正确，无重大语法错误，格式规范，表达清楚，不少于60</w:t>
      </w:r>
      <w:r>
        <w:rPr>
          <w:rFonts w:hint="eastAsia" w:ascii="仿宋_GB2312" w:hAnsi="宋体" w:eastAsia="仿宋_GB2312" w:cs="宋体"/>
          <w:color w:val="000000"/>
          <w:sz w:val="30"/>
          <w:szCs w:val="21"/>
        </w:rPr>
        <w:t>个单词</w:t>
      </w:r>
      <w:r>
        <w:rPr>
          <w:rFonts w:hint="eastAsia" w:ascii="仿宋_GB2312" w:hAnsi="仿宋" w:eastAsia="仿宋_GB2312" w:cs="仿宋"/>
          <w:color w:val="000000"/>
          <w:sz w:val="30"/>
          <w:szCs w:val="21"/>
        </w:rPr>
        <w:t>。</w:t>
      </w:r>
    </w:p>
    <w:p>
      <w:pPr>
        <w:spacing w:line="400" w:lineRule="exact"/>
        <w:jc w:val="left"/>
        <w:textAlignment w:val="baseline"/>
        <w:rPr>
          <w:rFonts w:ascii="仿宋_GB2312" w:hAnsi="Calibri" w:eastAsia="仿宋_GB2312" w:cs="Calibri"/>
          <w:sz w:val="19"/>
          <w:szCs w:val="21"/>
        </w:rPr>
      </w:pPr>
    </w:p>
    <w:p>
      <w:pPr>
        <w:spacing w:line="400" w:lineRule="exact"/>
        <w:ind w:firstLine="600" w:firstLineChars="200"/>
        <w:jc w:val="left"/>
        <w:textAlignment w:val="baseline"/>
        <w:rPr>
          <w:rFonts w:ascii="仿宋_GB2312" w:hAnsi="仿宋" w:eastAsia="仿宋_GB2312" w:cs="Times New Roman"/>
          <w:color w:val="000000"/>
          <w:kern w:val="0"/>
          <w:sz w:val="30"/>
          <w:szCs w:val="21"/>
          <w:lang w:val="zh-CN"/>
        </w:rPr>
      </w:pPr>
      <w:r>
        <w:rPr>
          <w:rFonts w:hint="eastAsia" w:ascii="仿宋_GB2312" w:hAnsi="仿宋" w:eastAsia="仿宋_GB2312" w:cs="Times New Roman"/>
          <w:color w:val="000000"/>
          <w:kern w:val="0"/>
          <w:sz w:val="30"/>
          <w:szCs w:val="21"/>
          <w:lang w:val="zh-CN"/>
        </w:rPr>
        <w:t>附：高职高专教育英语课程教学基本要求</w:t>
      </w:r>
    </w:p>
    <w:p>
      <w:pPr>
        <w:widowControl/>
        <w:spacing w:line="400" w:lineRule="exact"/>
        <w:jc w:val="left"/>
        <w:textAlignment w:val="baseline"/>
        <w:rPr>
          <w:rFonts w:ascii="仿宋_GB2312" w:hAnsi="黑体" w:eastAsia="仿宋_GB2312" w:cs="Times New Roman"/>
          <w:color w:val="000000"/>
          <w:kern w:val="0"/>
          <w:sz w:val="32"/>
          <w:szCs w:val="32"/>
        </w:rPr>
      </w:pPr>
      <w:r>
        <w:rPr>
          <w:rFonts w:hint="eastAsia" w:ascii="仿宋_GB2312" w:hAnsi="Calibri" w:eastAsia="仿宋_GB2312" w:cs="Times New Roman"/>
          <w:szCs w:val="21"/>
        </w:rPr>
        <w:br w:type="page"/>
      </w:r>
    </w:p>
    <w:p>
      <w:pPr>
        <w:spacing w:line="400" w:lineRule="exact"/>
        <w:jc w:val="left"/>
        <w:textAlignment w:val="baseline"/>
        <w:rPr>
          <w:rFonts w:ascii="黑体" w:hAnsi="黑体" w:eastAsia="黑体" w:cs="Times New Roman"/>
          <w:color w:val="000000"/>
          <w:sz w:val="32"/>
        </w:rPr>
      </w:pPr>
      <w:r>
        <w:rPr>
          <w:rFonts w:hint="eastAsia" w:ascii="黑体" w:hAnsi="黑体" w:eastAsia="黑体" w:cs="Times New Roman"/>
          <w:color w:val="000000"/>
          <w:kern w:val="0"/>
          <w:sz w:val="32"/>
          <w:szCs w:val="32"/>
        </w:rPr>
        <w:t>附</w:t>
      </w:r>
    </w:p>
    <w:p>
      <w:pPr>
        <w:widowControl/>
        <w:spacing w:line="400" w:lineRule="exact"/>
        <w:jc w:val="left"/>
        <w:textAlignment w:val="baseline"/>
        <w:rPr>
          <w:rFonts w:ascii="方正小标宋简体" w:hAnsi="Calibri" w:eastAsia="方正小标宋简体" w:cs="Times New Roman"/>
          <w:color w:val="000000"/>
          <w:sz w:val="32"/>
          <w:szCs w:val="32"/>
        </w:rPr>
      </w:pPr>
    </w:p>
    <w:p>
      <w:pPr>
        <w:spacing w:line="400" w:lineRule="exact"/>
        <w:jc w:val="center"/>
        <w:textAlignment w:val="baseline"/>
        <w:rPr>
          <w:rFonts w:ascii="方正小标宋简体" w:hAnsi="仿宋" w:eastAsia="方正小标宋简体" w:cs="Times New Roman"/>
          <w:color w:val="000000"/>
          <w:kern w:val="0"/>
          <w:sz w:val="30"/>
          <w:szCs w:val="30"/>
        </w:rPr>
      </w:pPr>
      <w:r>
        <w:rPr>
          <w:rFonts w:hint="eastAsia" w:ascii="方正小标宋简体" w:hAnsi="Calibri" w:eastAsia="方正小标宋简体" w:cs="Times New Roman"/>
          <w:color w:val="000000"/>
          <w:kern w:val="0"/>
          <w:sz w:val="30"/>
          <w:szCs w:val="30"/>
        </w:rPr>
        <w:t>高职高专教育英语课程教学基本要求</w:t>
      </w:r>
    </w:p>
    <w:p>
      <w:pPr>
        <w:snapToGrid w:val="0"/>
        <w:spacing w:line="400" w:lineRule="exact"/>
        <w:jc w:val="center"/>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（教育部高等教育司2000年10月颁布/试行）</w:t>
      </w:r>
    </w:p>
    <w:p>
      <w:pPr>
        <w:snapToGrid w:val="0"/>
        <w:spacing w:line="400" w:lineRule="exact"/>
        <w:ind w:firstLine="600" w:firstLineChars="200"/>
        <w:jc w:val="center"/>
        <w:textAlignment w:val="baseline"/>
        <w:rPr>
          <w:rFonts w:ascii="仿宋" w:hAnsi="仿宋" w:eastAsia="仿宋" w:cs="Times New Roman"/>
          <w:kern w:val="0"/>
          <w:sz w:val="30"/>
          <w:szCs w:val="30"/>
        </w:rPr>
      </w:pPr>
    </w:p>
    <w:p>
      <w:pPr>
        <w:snapToGrid w:val="0"/>
        <w:spacing w:line="400" w:lineRule="exact"/>
        <w:jc w:val="center"/>
        <w:textAlignment w:val="baseline"/>
        <w:rPr>
          <w:rFonts w:ascii="黑体" w:hAnsi="黑体" w:eastAsia="黑体" w:cs="Times New Roman"/>
          <w:kern w:val="0"/>
          <w:sz w:val="30"/>
          <w:szCs w:val="30"/>
        </w:rPr>
      </w:pPr>
      <w:r>
        <w:rPr>
          <w:rFonts w:hint="eastAsia" w:ascii="黑体" w:hAnsi="黑体" w:eastAsia="黑体" w:cs="Times New Roman"/>
          <w:bCs/>
          <w:kern w:val="0"/>
          <w:sz w:val="30"/>
          <w:szCs w:val="30"/>
        </w:rPr>
        <w:t>一、适用对象</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本教学基本要求适用于高职高专教育（即普通高等专科教育、高等职业教育和成人高等专科教育）非英语专业的学生。学生入学时一般应掌握基本的英语语音和语法知识，认知英语单词</w:t>
      </w:r>
      <w:r>
        <w:rPr>
          <w:rFonts w:ascii="仿宋" w:hAnsi="仿宋" w:eastAsia="仿宋" w:cs="Times New Roman"/>
          <w:kern w:val="0"/>
          <w:sz w:val="30"/>
          <w:szCs w:val="30"/>
        </w:rPr>
        <w:t>1000个（较低要求）-1600个（标准要求），在听、说、读、写、译等方面受过初步的训练。</w:t>
      </w:r>
    </w:p>
    <w:p>
      <w:pPr>
        <w:snapToGrid w:val="0"/>
        <w:spacing w:line="400" w:lineRule="exact"/>
        <w:jc w:val="center"/>
        <w:textAlignment w:val="baseline"/>
        <w:rPr>
          <w:rFonts w:ascii="黑体" w:hAnsi="黑体" w:eastAsia="黑体" w:cs="Times New Roman"/>
          <w:bCs/>
          <w:kern w:val="0"/>
          <w:sz w:val="30"/>
          <w:szCs w:val="30"/>
        </w:rPr>
      </w:pPr>
      <w:r>
        <w:rPr>
          <w:rFonts w:hint="eastAsia" w:ascii="黑体" w:hAnsi="黑体" w:eastAsia="黑体" w:cs="Times New Roman"/>
          <w:bCs/>
          <w:kern w:val="0"/>
          <w:sz w:val="30"/>
          <w:szCs w:val="30"/>
        </w:rPr>
        <w:t>二、教学目的</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高职高专教育英语课程的教学目的是：经过</w:t>
      </w:r>
      <w:r>
        <w:rPr>
          <w:rFonts w:ascii="仿宋" w:hAnsi="仿宋" w:eastAsia="仿宋" w:cs="Times New Roman"/>
          <w:kern w:val="0"/>
          <w:sz w:val="30"/>
          <w:szCs w:val="30"/>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pPr>
        <w:snapToGrid w:val="0"/>
        <w:spacing w:line="400" w:lineRule="exact"/>
        <w:jc w:val="center"/>
        <w:textAlignment w:val="baseline"/>
        <w:rPr>
          <w:rFonts w:ascii="黑体" w:hAnsi="黑体" w:eastAsia="黑体" w:cs="Times New Roman"/>
          <w:bCs/>
          <w:kern w:val="0"/>
          <w:sz w:val="30"/>
          <w:szCs w:val="30"/>
        </w:rPr>
      </w:pPr>
      <w:r>
        <w:rPr>
          <w:rFonts w:hint="eastAsia" w:ascii="黑体" w:hAnsi="黑体" w:eastAsia="黑体" w:cs="Times New Roman"/>
          <w:bCs/>
          <w:kern w:val="0"/>
          <w:sz w:val="30"/>
          <w:szCs w:val="30"/>
        </w:rPr>
        <w:t>三、教学要求</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鉴于目前高职、高专和成人高专学生入学时的英语水平差异较大，本课程的教学要求分为</w:t>
      </w:r>
      <w:r>
        <w:rPr>
          <w:rFonts w:ascii="仿宋" w:hAnsi="仿宋" w:eastAsia="仿宋" w:cs="Times New Roman"/>
          <w:kern w:val="0"/>
          <w:sz w:val="30"/>
          <w:szCs w:val="30"/>
        </w:rPr>
        <w:t>A、B两级，实行分级指导。A级是标准要求，B级是过渡要求。入学水平较高的学生应达到A级要求，入学水平较低的学生至少应达到B级要求。随着入学英语水平的不断提高，学生均应达到A级要求。</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本课程在加强英语语言基础知识和基本技能训练的同时，重视培养学生实际使用英语进行交际的能力。通过本课程的学习，学生应该达到下列要求：</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1.词汇</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A级：认知3400个英语单词（包括入学时要求掌握的1600个词）以及由这些词构成的常用词组，对其中2000个左右的单词能正确拼写，英汉互译。学生还应结合专业英语学习，认知400个专业英语词汇。</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B级：认知2500个英语单词（包括入学时要求掌握的1000个词）以及由这些词构成的常用词组，对其中1500左右的单词能正确拼写，英汉互译。</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2.语法</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掌握基本的英语语法规则，在听、说、读、写、译中能正确运用所学语法知识。</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3.听力</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A级：能听懂日常和涉外业务活动中使用的结构简单、发音清楚、语速较慢（每分钟120词左右）的英语对话和不太复杂的陈述，理解基本正确。</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B级：能听懂涉及日常交际的结构简单、发音清楚、语速较慢（每分钟110词左右）的英语简短对话和陈述，理解基本正确。</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4.口语</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A级：能用英语进行一般的课堂交际，并能在日常和涉外业务活动中进行简单的交流。</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B级：掌握一般的课堂用语，并能在日常涉外活动中进行简单的交流。</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5.阅读</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A级：能阅读中等难度的一般题材的简短英文资料，理解正确。在阅读生词不超过总词数3%的英文资料时，阅读速度不低于每分钟70词。能读懂通用的简短实用文字材料，如信函、技术说明书、合同等，理解正确。</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B级：能阅读中等难度的一般题材的简短英文资料，理解正确。在阅读生词不超过总词数3%的英文资料时，阅读速度不低于每分钟50词。能读懂通用的简短实用文字材料，如信函、产品说明等，理解基本正确。</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6.写作</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A级：能就一般性题材，在30分钟内写出80－100词的命题作文；能填写和模拟套写简短的英语应用文，如填写表格与单证，套写简历、通知、信函等，词句基本正确，无重大语法错误，格式恰当，表达清楚。</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B级：能运用所学词汇和语法写出简单的短文；能用英语填写表格，套写便函、简历等，词句基本正确，无重大语法错误，格式基本恰当，表达清楚。</w:t>
      </w:r>
    </w:p>
    <w:p>
      <w:pPr>
        <w:snapToGrid w:val="0"/>
        <w:spacing w:line="400" w:lineRule="exact"/>
        <w:ind w:firstLine="602" w:firstLineChars="200"/>
        <w:jc w:val="left"/>
        <w:textAlignment w:val="baseline"/>
        <w:rPr>
          <w:rFonts w:ascii="仿宋" w:hAnsi="仿宋" w:eastAsia="仿宋" w:cs="Times New Roman"/>
          <w:b/>
          <w:kern w:val="0"/>
          <w:sz w:val="30"/>
          <w:szCs w:val="30"/>
        </w:rPr>
      </w:pPr>
      <w:r>
        <w:rPr>
          <w:rFonts w:ascii="仿宋" w:hAnsi="仿宋" w:eastAsia="仿宋" w:cs="Times New Roman"/>
          <w:b/>
          <w:kern w:val="0"/>
          <w:sz w:val="30"/>
          <w:szCs w:val="30"/>
        </w:rPr>
        <w:t>7</w:t>
      </w:r>
      <w:r>
        <w:rPr>
          <w:rFonts w:hint="eastAsia" w:ascii="仿宋" w:hAnsi="仿宋" w:eastAsia="仿宋" w:cs="Times New Roman"/>
          <w:b/>
          <w:kern w:val="0"/>
          <w:sz w:val="30"/>
          <w:szCs w:val="30"/>
        </w:rPr>
        <w:t>.</w:t>
      </w:r>
      <w:r>
        <w:rPr>
          <w:rFonts w:ascii="仿宋" w:hAnsi="仿宋" w:eastAsia="仿宋" w:cs="Times New Roman"/>
          <w:b/>
          <w:kern w:val="0"/>
          <w:sz w:val="30"/>
          <w:szCs w:val="30"/>
        </w:rPr>
        <w:t>翻译（英译汉）</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A级：能借助词典将中等难度的一般题材的文字材料和对外交往中的一般业务文字材料译成汉语。理解正确，译文达意，格式恰当。在翻译生词不超过总词数5％的实用文字材料时，笔译速度每小时250个英语词。</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B级：能借助词典将中等偏下难度的一般题材的文字材料译成汉语。理解正确，译文达意。</w:t>
      </w:r>
    </w:p>
    <w:p>
      <w:pPr>
        <w:snapToGrid w:val="0"/>
        <w:spacing w:line="400" w:lineRule="exact"/>
        <w:jc w:val="center"/>
        <w:textAlignment w:val="baseline"/>
        <w:rPr>
          <w:rFonts w:ascii="仿宋" w:hAnsi="仿宋" w:eastAsia="仿宋" w:cs="Times New Roman"/>
          <w:kern w:val="0"/>
          <w:sz w:val="30"/>
          <w:szCs w:val="30"/>
        </w:rPr>
      </w:pPr>
      <w:r>
        <w:rPr>
          <w:rFonts w:hint="eastAsia" w:ascii="黑体" w:hAnsi="黑体" w:eastAsia="黑体" w:cs="Times New Roman"/>
          <w:bCs/>
          <w:kern w:val="0"/>
          <w:sz w:val="30"/>
          <w:szCs w:val="30"/>
        </w:rPr>
        <w:t>四、测试</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hint="eastAsia" w:ascii="仿宋" w:hAnsi="仿宋" w:eastAsia="仿宋" w:cs="Times New Roman"/>
          <w:kern w:val="0"/>
          <w:sz w:val="30"/>
          <w:szCs w:val="30"/>
        </w:rPr>
        <w:t>语言测试在考核英语知识的同时，应着重考核学生实际运用语言的能力，要做到科学、公平和规范。完成《基本要求》规定的教学任务后，采用“高等学校英语应用能力考试国家级试题库”的命题进行检测。检测分</w:t>
      </w:r>
      <w:r>
        <w:rPr>
          <w:rFonts w:ascii="仿宋" w:hAnsi="仿宋" w:eastAsia="仿宋" w:cs="Times New Roman"/>
          <w:kern w:val="0"/>
          <w:sz w:val="30"/>
          <w:szCs w:val="30"/>
        </w:rPr>
        <w:t>A、B两级（含笔试和口试）。</w:t>
      </w:r>
    </w:p>
    <w:p>
      <w:pPr>
        <w:snapToGrid w:val="0"/>
        <w:spacing w:line="400" w:lineRule="exact"/>
        <w:jc w:val="center"/>
        <w:textAlignment w:val="baseline"/>
        <w:rPr>
          <w:rFonts w:ascii="黑体" w:hAnsi="黑体" w:eastAsia="黑体" w:cs="Times New Roman"/>
          <w:bCs/>
          <w:kern w:val="0"/>
          <w:sz w:val="30"/>
          <w:szCs w:val="30"/>
        </w:rPr>
      </w:pPr>
      <w:r>
        <w:rPr>
          <w:rFonts w:hint="eastAsia" w:ascii="黑体" w:hAnsi="黑体" w:eastAsia="黑体" w:cs="Times New Roman"/>
          <w:bCs/>
          <w:kern w:val="0"/>
          <w:sz w:val="30"/>
          <w:szCs w:val="30"/>
        </w:rPr>
        <w:t>五、教学中需要注意的几个问题</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1.</w:t>
      </w:r>
      <w:r>
        <w:rPr>
          <w:rFonts w:hint="eastAsia" w:ascii="仿宋" w:hAnsi="仿宋" w:eastAsia="仿宋" w:cs="Times New Roman"/>
          <w:kern w:val="0"/>
          <w:sz w:val="30"/>
          <w:szCs w:val="30"/>
        </w:rPr>
        <w:t>高职高专教育培养的是技术、生产、管理、服务等领域的高等应用性专门人才。英语课程不仅应打好语言基础，更要注重培养实际使用语言的技能，特别是使用英语处理日常和涉外业务活动的能力。</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3.重视语言学习的规律，正确处理听、说、读、写、译之间的关系，确保各项语言能力的协调发展。目前要特别注意加强听说技能的培养。</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4.考虑到目前学生入学英语水平的差异，教学和测试分A、B两级。对入学时未达到标准入学水平的学生应进行必要的补充训练，逐步使学生都能达到A级要求，以保证《基本要求》的全面落实。</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5.在完成《基本要求》规定的教学任务后，应结合专业学习，开设专业英语课程，这既可保证学生在校期间英语学习的连续性，又可使他们所学的英语得到实际的应用。</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6.正确处理测试和教学的关系。语言测试应着重考核学生实际运用语言的能力，防止应试教育。与此同时，科学的测试又能为教学改革和语言学习提供积极的反馈，是提高教学质量的必要保证。</w:t>
      </w:r>
    </w:p>
    <w:p>
      <w:pPr>
        <w:snapToGrid w:val="0"/>
        <w:spacing w:line="400" w:lineRule="exact"/>
        <w:ind w:firstLine="600" w:firstLineChars="200"/>
        <w:jc w:val="left"/>
        <w:textAlignment w:val="baseline"/>
        <w:rPr>
          <w:rFonts w:ascii="仿宋" w:hAnsi="仿宋" w:eastAsia="仿宋" w:cs="Times New Roman"/>
          <w:kern w:val="0"/>
          <w:sz w:val="30"/>
          <w:szCs w:val="30"/>
        </w:rPr>
      </w:pPr>
      <w:r>
        <w:rPr>
          <w:rFonts w:ascii="仿宋" w:hAnsi="仿宋" w:eastAsia="仿宋" w:cs="Times New Roman"/>
          <w:kern w:val="0"/>
          <w:sz w:val="30"/>
          <w:szCs w:val="30"/>
        </w:rPr>
        <w:t>7.积极引进和使用计算机多媒体、网络技术等现代化的教学手段，改善学校的英语教学条件。组织学生参加丰富多彩的</w:t>
      </w:r>
      <w:r>
        <w:rPr>
          <w:rFonts w:hint="eastAsia" w:ascii="仿宋" w:hAnsi="仿宋" w:eastAsia="仿宋" w:cs="Times New Roman"/>
          <w:kern w:val="0"/>
          <w:sz w:val="30"/>
          <w:szCs w:val="30"/>
        </w:rPr>
        <w:t>英语课外活动，营造良好的英语学习氛围，激发学生学习英语的自觉性和积极性。</w:t>
      </w:r>
    </w:p>
    <w:p>
      <w:pPr>
        <w:widowControl/>
        <w:spacing w:line="400" w:lineRule="exact"/>
        <w:jc w:val="left"/>
        <w:textAlignment w:val="baseline"/>
        <w:rPr>
          <w:rFonts w:ascii="Calibri" w:hAnsi="Calibri" w:eastAsia="宋体" w:cs="Times New Roman"/>
          <w:kern w:val="0"/>
          <w:sz w:val="20"/>
          <w:szCs w:val="21"/>
        </w:rPr>
      </w:pPr>
      <w:r>
        <w:rPr>
          <w:rFonts w:ascii="黑体" w:hAnsi="Calibri" w:eastAsia="黑体" w:cs="Times New Roman"/>
          <w:sz w:val="30"/>
          <w:szCs w:val="30"/>
        </w:rPr>
        <w:br w:type="page"/>
      </w:r>
    </w:p>
    <w:p>
      <w:pPr>
        <w:spacing w:line="400" w:lineRule="exact"/>
        <w:jc w:val="left"/>
        <w:textAlignment w:val="baseline"/>
        <w:rPr>
          <w:rFonts w:ascii="Calibri" w:hAnsi="Calibri" w:eastAsia="宋体" w:cs="Times New Roman"/>
          <w:sz w:val="20"/>
        </w:rPr>
      </w:pPr>
      <w:r>
        <w:rPr>
          <w:rFonts w:hint="eastAsia" w:ascii="黑体" w:hAnsi="Calibri" w:eastAsia="黑体" w:cs="Times New Roman"/>
          <w:kern w:val="0"/>
          <w:sz w:val="28"/>
          <w:szCs w:val="28"/>
        </w:rPr>
        <w:t>附表一</w:t>
      </w:r>
    </w:p>
    <w:p>
      <w:pPr>
        <w:snapToGrid w:val="0"/>
        <w:spacing w:line="400" w:lineRule="exact"/>
        <w:jc w:val="center"/>
        <w:textAlignment w:val="baseline"/>
        <w:rPr>
          <w:rFonts w:ascii="宋体" w:hAnsi="宋体" w:eastAsia="宋体" w:cs="Times New Roman"/>
          <w:b/>
          <w:bCs/>
          <w:kern w:val="0"/>
          <w:sz w:val="28"/>
          <w:szCs w:val="28"/>
        </w:rPr>
      </w:pPr>
      <w:r>
        <w:rPr>
          <w:rFonts w:hint="eastAsia" w:ascii="宋体" w:hAnsi="宋体" w:eastAsia="宋体" w:cs="Times New Roman"/>
          <w:b/>
          <w:bCs/>
          <w:kern w:val="0"/>
          <w:sz w:val="28"/>
          <w:szCs w:val="28"/>
        </w:rPr>
        <w:t>交际范围表</w:t>
      </w:r>
    </w:p>
    <w:p>
      <w:pPr>
        <w:snapToGrid w:val="0"/>
        <w:spacing w:line="400" w:lineRule="exact"/>
        <w:jc w:val="center"/>
        <w:textAlignment w:val="baseline"/>
        <w:rPr>
          <w:rFonts w:ascii="Calibri" w:hAnsi="Calibri" w:eastAsia="宋体" w:cs="Times New Roman"/>
          <w:kern w:val="0"/>
          <w:sz w:val="20"/>
          <w:szCs w:val="21"/>
        </w:rPr>
      </w:pPr>
    </w:p>
    <w:p>
      <w:pPr>
        <w:snapToGrid w:val="0"/>
        <w:spacing w:line="400" w:lineRule="exact"/>
        <w:ind w:firstLine="480"/>
        <w:jc w:val="left"/>
        <w:textAlignment w:val="baseline"/>
        <w:rPr>
          <w:rFonts w:ascii="Calibri" w:hAnsi="Calibri" w:eastAsia="宋体" w:cs="Times New Roman"/>
          <w:kern w:val="0"/>
          <w:sz w:val="20"/>
          <w:szCs w:val="21"/>
        </w:rPr>
      </w:pPr>
      <w:r>
        <w:rPr>
          <w:rFonts w:hint="eastAsia" w:ascii="宋体" w:hAnsi="宋体" w:eastAsia="宋体" w:cs="Times New Roman"/>
          <w:kern w:val="0"/>
          <w:sz w:val="24"/>
          <w:szCs w:val="21"/>
        </w:rPr>
        <w:t>一、制定本表的目的是明确英语教学的实用范围。本表列出了教学中学生应重点掌握和运用的交际内容，培养其具有初步的语言交际能力。</w:t>
      </w:r>
    </w:p>
    <w:p>
      <w:pPr>
        <w:snapToGrid w:val="0"/>
        <w:spacing w:line="400" w:lineRule="exact"/>
        <w:ind w:firstLine="480"/>
        <w:jc w:val="left"/>
        <w:textAlignment w:val="baseline"/>
        <w:rPr>
          <w:rFonts w:ascii="Calibri" w:hAnsi="Calibri" w:eastAsia="宋体" w:cs="Times New Roman"/>
          <w:kern w:val="0"/>
          <w:sz w:val="20"/>
          <w:szCs w:val="21"/>
        </w:rPr>
      </w:pPr>
      <w:r>
        <w:rPr>
          <w:rFonts w:hint="eastAsia" w:ascii="宋体" w:hAnsi="宋体" w:eastAsia="宋体" w:cs="Times New Roman"/>
          <w:kern w:val="0"/>
          <w:sz w:val="24"/>
          <w:szCs w:val="21"/>
        </w:rPr>
        <w:t>二、本表主要用于指导制定教学大纲、教材编写、测试设计等。</w:t>
      </w:r>
    </w:p>
    <w:p>
      <w:pPr>
        <w:snapToGrid w:val="0"/>
        <w:spacing w:line="400" w:lineRule="exact"/>
        <w:ind w:firstLine="480"/>
        <w:jc w:val="left"/>
        <w:textAlignment w:val="baseline"/>
        <w:rPr>
          <w:rFonts w:ascii="Calibri" w:hAnsi="Calibri" w:eastAsia="宋体" w:cs="Times New Roman"/>
          <w:kern w:val="0"/>
          <w:sz w:val="20"/>
          <w:szCs w:val="21"/>
        </w:rPr>
      </w:pPr>
      <w:r>
        <w:rPr>
          <w:rFonts w:hint="eastAsia" w:ascii="宋体" w:hAnsi="宋体" w:eastAsia="宋体" w:cs="Times New Roman"/>
          <w:kern w:val="0"/>
          <w:sz w:val="24"/>
          <w:szCs w:val="21"/>
        </w:rPr>
        <w:t>三、标</w:t>
      </w:r>
      <w:r>
        <w:rPr>
          <w:rFonts w:ascii="宋体" w:hAnsi="宋体" w:eastAsia="宋体" w:cs="Times New Roman"/>
          <w:kern w:val="0"/>
          <w:sz w:val="24"/>
          <w:szCs w:val="21"/>
        </w:rPr>
        <w:t>*号者为A级要求。</w:t>
      </w:r>
    </w:p>
    <w:p>
      <w:pPr>
        <w:snapToGrid w:val="0"/>
        <w:spacing w:line="400" w:lineRule="exact"/>
        <w:jc w:val="center"/>
        <w:textAlignment w:val="baseline"/>
        <w:rPr>
          <w:rFonts w:ascii="Calibri" w:hAnsi="Calibri" w:eastAsia="宋体" w:cs="Times New Roman"/>
          <w:kern w:val="0"/>
          <w:sz w:val="20"/>
          <w:szCs w:val="21"/>
        </w:rPr>
      </w:pPr>
      <w:r>
        <w:rPr>
          <w:rFonts w:hint="eastAsia" w:ascii="宋体" w:hAnsi="宋体" w:eastAsia="宋体" w:cs="Times New Roman"/>
          <w:b/>
          <w:bCs/>
          <w:kern w:val="0"/>
          <w:sz w:val="28"/>
          <w:szCs w:val="28"/>
        </w:rPr>
        <w:t>交际范围表</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7"/>
        <w:gridCol w:w="3217"/>
        <w:gridCol w:w="2078"/>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400" w:lineRule="exact"/>
              <w:jc w:val="center"/>
              <w:textAlignment w:val="baseline"/>
              <w:rPr>
                <w:rFonts w:ascii="Calibri" w:hAnsi="Calibri" w:eastAsia="宋体" w:cs="Times New Roman"/>
                <w:kern w:val="0"/>
                <w:sz w:val="18"/>
                <w:szCs w:val="18"/>
              </w:rPr>
            </w:pPr>
          </w:p>
        </w:tc>
        <w:tc>
          <w:tcPr>
            <w:tcW w:w="3255" w:type="dxa"/>
            <w:tcMar>
              <w:top w:w="0" w:type="dxa"/>
              <w:left w:w="108" w:type="dxa"/>
              <w:bottom w:w="0" w:type="dxa"/>
              <w:right w:w="108" w:type="dxa"/>
            </w:tcMar>
            <w:vAlign w:val="center"/>
          </w:tcPr>
          <w:p>
            <w:pPr>
              <w:snapToGrid w:val="0"/>
              <w:spacing w:line="400" w:lineRule="exact"/>
              <w:jc w:val="center"/>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听、说</w:t>
            </w:r>
          </w:p>
        </w:tc>
        <w:tc>
          <w:tcPr>
            <w:tcW w:w="2100" w:type="dxa"/>
            <w:tcMar>
              <w:top w:w="0" w:type="dxa"/>
              <w:left w:w="108" w:type="dxa"/>
              <w:bottom w:w="0" w:type="dxa"/>
              <w:right w:w="108" w:type="dxa"/>
            </w:tcMar>
            <w:vAlign w:val="center"/>
          </w:tcPr>
          <w:p>
            <w:pPr>
              <w:snapToGrid w:val="0"/>
              <w:spacing w:line="400" w:lineRule="exact"/>
              <w:jc w:val="center"/>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读、译</w:t>
            </w:r>
          </w:p>
        </w:tc>
        <w:tc>
          <w:tcPr>
            <w:tcW w:w="2627" w:type="dxa"/>
            <w:tcMar>
              <w:top w:w="0" w:type="dxa"/>
              <w:left w:w="108" w:type="dxa"/>
              <w:bottom w:w="0" w:type="dxa"/>
              <w:right w:w="108" w:type="dxa"/>
            </w:tcMar>
            <w:vAlign w:val="center"/>
          </w:tcPr>
          <w:p>
            <w:pPr>
              <w:snapToGrid w:val="0"/>
              <w:spacing w:line="400" w:lineRule="exact"/>
              <w:jc w:val="center"/>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400" w:lineRule="exact"/>
              <w:jc w:val="center"/>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日常交际</w:t>
            </w:r>
          </w:p>
        </w:tc>
        <w:tc>
          <w:tcPr>
            <w:tcW w:w="3255" w:type="dxa"/>
            <w:tcMar>
              <w:top w:w="0" w:type="dxa"/>
              <w:left w:w="108" w:type="dxa"/>
              <w:bottom w:w="0" w:type="dxa"/>
              <w:right w:w="108" w:type="dxa"/>
            </w:tcMar>
            <w:vAlign w:val="center"/>
          </w:tcPr>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1.课堂交流</w:t>
            </w:r>
          </w:p>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2.日常交际：介绍、问候、感谢、致歉、道别、指路；天气、学习、爱好、饮食、健康等。</w:t>
            </w:r>
          </w:p>
        </w:tc>
        <w:tc>
          <w:tcPr>
            <w:tcW w:w="2100" w:type="dxa"/>
            <w:tcMar>
              <w:top w:w="0" w:type="dxa"/>
              <w:left w:w="108" w:type="dxa"/>
              <w:bottom w:w="0" w:type="dxa"/>
              <w:right w:w="108" w:type="dxa"/>
            </w:tcMar>
            <w:vAlign w:val="center"/>
          </w:tcPr>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阅读与翻译一般题材的文字材料，如：科普、人物、政治、商贸、文化、生活等。</w:t>
            </w:r>
          </w:p>
        </w:tc>
        <w:tc>
          <w:tcPr>
            <w:tcW w:w="2627" w:type="dxa"/>
            <w:tcMar>
              <w:top w:w="0" w:type="dxa"/>
              <w:left w:w="108" w:type="dxa"/>
              <w:bottom w:w="0" w:type="dxa"/>
              <w:right w:w="108" w:type="dxa"/>
            </w:tcMar>
            <w:vAlign w:val="center"/>
          </w:tcPr>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日常题材的短文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30" w:type="dxa"/>
            <w:tcMar>
              <w:top w:w="0" w:type="dxa"/>
              <w:left w:w="108" w:type="dxa"/>
              <w:bottom w:w="0" w:type="dxa"/>
              <w:right w:w="108" w:type="dxa"/>
            </w:tcMar>
            <w:vAlign w:val="center"/>
          </w:tcPr>
          <w:p>
            <w:pPr>
              <w:snapToGrid w:val="0"/>
              <w:spacing w:line="400" w:lineRule="exact"/>
              <w:jc w:val="center"/>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业务交际</w:t>
            </w:r>
          </w:p>
        </w:tc>
        <w:tc>
          <w:tcPr>
            <w:tcW w:w="3255" w:type="dxa"/>
            <w:tcMar>
              <w:top w:w="0" w:type="dxa"/>
              <w:left w:w="108" w:type="dxa"/>
              <w:bottom w:w="0" w:type="dxa"/>
              <w:right w:w="108" w:type="dxa"/>
            </w:tcMar>
            <w:vAlign w:val="center"/>
          </w:tcPr>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1.一般涉外活动</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1）迎送</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2）安排日程与活动</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3）安排住宿</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4）宴请与迎送会</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5）陪同购物、游览、就诊等</w:t>
            </w:r>
          </w:p>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2.一般涉外业务</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1）面试</w:t>
            </w:r>
          </w:p>
          <w:p>
            <w:pPr>
              <w:snapToGrid w:val="0"/>
              <w:spacing w:line="400" w:lineRule="exact"/>
              <w:ind w:firstLine="276"/>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2）介绍公司/工厂：历史、现状</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3）介绍产品：类型、性能、规格、市场等</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4）业务洽谈：合作意向、投资意向、签定合同、人员培训、专家待遇、议价、折扣、佣金、订购、付款方式、交货日期、保险等</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5）主持业务交流会议</w:t>
            </w:r>
          </w:p>
        </w:tc>
        <w:tc>
          <w:tcPr>
            <w:tcW w:w="2100" w:type="dxa"/>
            <w:tcMar>
              <w:top w:w="0" w:type="dxa"/>
              <w:left w:w="108" w:type="dxa"/>
              <w:bottom w:w="0" w:type="dxa"/>
              <w:right w:w="108" w:type="dxa"/>
            </w:tcMar>
            <w:vAlign w:val="center"/>
          </w:tcPr>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1.业务信函、传真、电子邮件</w:t>
            </w:r>
          </w:p>
          <w:p>
            <w:pPr>
              <w:snapToGrid w:val="0"/>
              <w:spacing w:line="400" w:lineRule="exact"/>
              <w:ind w:firstLine="240"/>
              <w:jc w:val="center"/>
              <w:textAlignment w:val="baseline"/>
              <w:rPr>
                <w:rFonts w:ascii="Calibri" w:hAnsi="Calibri" w:eastAsia="宋体" w:cs="Times New Roman"/>
                <w:kern w:val="0"/>
                <w:sz w:val="18"/>
                <w:szCs w:val="18"/>
              </w:rPr>
            </w:pPr>
            <w:r>
              <w:rPr>
                <w:rFonts w:ascii="宋体" w:hAnsi="宋体" w:eastAsia="宋体" w:cs="Times New Roman"/>
                <w:kern w:val="0"/>
                <w:sz w:val="18"/>
                <w:szCs w:val="18"/>
              </w:rPr>
              <w:t>2.广告</w:t>
            </w:r>
          </w:p>
          <w:p>
            <w:pPr>
              <w:snapToGrid w:val="0"/>
              <w:spacing w:line="400" w:lineRule="exact"/>
              <w:ind w:firstLine="240"/>
              <w:jc w:val="center"/>
              <w:textAlignment w:val="baseline"/>
              <w:rPr>
                <w:rFonts w:ascii="Calibri" w:hAnsi="Calibri" w:eastAsia="宋体" w:cs="Times New Roman"/>
                <w:kern w:val="0"/>
                <w:sz w:val="18"/>
                <w:szCs w:val="18"/>
              </w:rPr>
            </w:pPr>
            <w:r>
              <w:rPr>
                <w:rFonts w:ascii="宋体" w:hAnsi="宋体" w:eastAsia="宋体" w:cs="Times New Roman"/>
                <w:kern w:val="0"/>
                <w:sz w:val="18"/>
                <w:szCs w:val="18"/>
              </w:rPr>
              <w:t>3.产品与厂家介绍</w:t>
            </w:r>
          </w:p>
          <w:p>
            <w:pPr>
              <w:snapToGrid w:val="0"/>
              <w:spacing w:line="400" w:lineRule="exact"/>
              <w:ind w:firstLine="240"/>
              <w:jc w:val="center"/>
              <w:textAlignment w:val="baseline"/>
              <w:rPr>
                <w:rFonts w:ascii="Calibri" w:hAnsi="Calibri" w:eastAsia="宋体" w:cs="Times New Roman"/>
                <w:kern w:val="0"/>
                <w:sz w:val="18"/>
                <w:szCs w:val="18"/>
              </w:rPr>
            </w:pPr>
            <w:r>
              <w:rPr>
                <w:rFonts w:ascii="宋体" w:hAnsi="宋体" w:eastAsia="宋体" w:cs="Times New Roman"/>
                <w:kern w:val="0"/>
                <w:sz w:val="18"/>
                <w:szCs w:val="18"/>
              </w:rPr>
              <w:t>4.维护及使用说明</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5.本专业书籍的前言、序言和正文节选</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6.科技文摘</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7.技术专利</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8.招、投标书</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9.</w:t>
            </w:r>
            <w:r>
              <w:rPr>
                <w:rFonts w:hint="eastAsia" w:ascii="宋体" w:hAnsi="宋体" w:eastAsia="宋体" w:cs="Times New Roman"/>
                <w:kern w:val="0"/>
                <w:sz w:val="18"/>
                <w:szCs w:val="18"/>
              </w:rPr>
              <w:t>合同、意向书</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10.国际商务、进出口及保险等的单证</w:t>
            </w:r>
          </w:p>
        </w:tc>
        <w:tc>
          <w:tcPr>
            <w:tcW w:w="2627" w:type="dxa"/>
            <w:tcMar>
              <w:top w:w="0" w:type="dxa"/>
              <w:left w:w="108" w:type="dxa"/>
              <w:bottom w:w="0" w:type="dxa"/>
              <w:right w:w="108" w:type="dxa"/>
            </w:tcMar>
            <w:vAlign w:val="center"/>
          </w:tcPr>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1.表格填写</w:t>
            </w:r>
          </w:p>
          <w:p>
            <w:pPr>
              <w:snapToGrid w:val="0"/>
              <w:spacing w:line="400" w:lineRule="exact"/>
              <w:ind w:firstLine="343"/>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1）个人资料表单</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2）业务表单</w:t>
            </w:r>
          </w:p>
          <w:p>
            <w:pPr>
              <w:snapToGrid w:val="0"/>
              <w:spacing w:line="400" w:lineRule="exact"/>
              <w:ind w:firstLine="240"/>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2.模拟套写</w:t>
            </w:r>
          </w:p>
          <w:p>
            <w:pPr>
              <w:snapToGrid w:val="0"/>
              <w:spacing w:line="400" w:lineRule="exact"/>
              <w:ind w:firstLine="341"/>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1）名片、贺卡、通知等</w:t>
            </w:r>
          </w:p>
          <w:p>
            <w:pPr>
              <w:snapToGrid w:val="0"/>
              <w:spacing w:line="400" w:lineRule="exact"/>
              <w:ind w:firstLine="341"/>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2）便条、邀请函及回函</w:t>
            </w:r>
          </w:p>
          <w:p>
            <w:pPr>
              <w:snapToGrid w:val="0"/>
              <w:spacing w:line="400" w:lineRule="exact"/>
              <w:ind w:firstLine="341"/>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3）个人简历</w:t>
            </w:r>
          </w:p>
          <w:p>
            <w:pPr>
              <w:snapToGrid w:val="0"/>
              <w:spacing w:line="400" w:lineRule="exact"/>
              <w:ind w:firstLine="341"/>
              <w:jc w:val="left"/>
              <w:textAlignment w:val="baseline"/>
              <w:rPr>
                <w:rFonts w:ascii="Calibri" w:hAnsi="Calibri" w:eastAsia="宋体" w:cs="Times New Roman"/>
                <w:kern w:val="0"/>
                <w:sz w:val="18"/>
                <w:szCs w:val="18"/>
              </w:rPr>
            </w:pPr>
            <w:r>
              <w:rPr>
                <w:rFonts w:ascii="宋体" w:hAnsi="宋体" w:eastAsia="宋体" w:cs="Times New Roman"/>
                <w:kern w:val="0"/>
                <w:sz w:val="24"/>
                <w:szCs w:val="21"/>
              </w:rPr>
              <w:t>4）简短私人信函</w:t>
            </w:r>
          </w:p>
          <w:p>
            <w:pPr>
              <w:snapToGrid w:val="0"/>
              <w:spacing w:line="400" w:lineRule="exact"/>
              <w:ind w:hanging="1"/>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5）简短业务信函</w:t>
            </w:r>
          </w:p>
          <w:p>
            <w:pPr>
              <w:snapToGrid w:val="0"/>
              <w:spacing w:line="400" w:lineRule="exact"/>
              <w:ind w:hanging="1"/>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6）简短传真和电子邮件</w:t>
            </w:r>
          </w:p>
          <w:p>
            <w:pPr>
              <w:snapToGrid w:val="0"/>
              <w:spacing w:line="400" w:lineRule="exact"/>
              <w:ind w:hanging="1"/>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7）简短广告</w:t>
            </w:r>
          </w:p>
          <w:p>
            <w:pPr>
              <w:snapToGrid w:val="0"/>
              <w:spacing w:line="400" w:lineRule="exact"/>
              <w:ind w:hanging="1"/>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8）简短产品与厂家介绍</w:t>
            </w:r>
          </w:p>
          <w:p>
            <w:pPr>
              <w:snapToGrid w:val="0"/>
              <w:spacing w:line="400" w:lineRule="exact"/>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9）简短产品维护及使用说明</w:t>
            </w:r>
          </w:p>
          <w:p>
            <w:pPr>
              <w:snapToGrid w:val="0"/>
              <w:spacing w:line="400" w:lineRule="exact"/>
              <w:ind w:hanging="1"/>
              <w:jc w:val="left"/>
              <w:textAlignment w:val="baseline"/>
              <w:rPr>
                <w:rFonts w:ascii="Calibri" w:hAnsi="Calibri" w:eastAsia="宋体" w:cs="Times New Roman"/>
                <w:kern w:val="0"/>
                <w:sz w:val="18"/>
                <w:szCs w:val="18"/>
              </w:rPr>
            </w:pPr>
            <w:r>
              <w:rPr>
                <w:rFonts w:hint="eastAsia" w:ascii="宋体" w:hAnsi="宋体" w:eastAsia="宋体" w:cs="Times New Roman"/>
                <w:kern w:val="0"/>
                <w:sz w:val="24"/>
                <w:szCs w:val="21"/>
              </w:rPr>
              <w:t>*</w:t>
            </w:r>
            <w:r>
              <w:rPr>
                <w:rFonts w:ascii="宋体" w:hAnsi="宋体" w:eastAsia="宋体" w:cs="Times New Roman"/>
                <w:kern w:val="0"/>
                <w:sz w:val="24"/>
                <w:szCs w:val="21"/>
              </w:rPr>
              <w:t>10）合同</w:t>
            </w:r>
          </w:p>
        </w:tc>
      </w:tr>
    </w:tbl>
    <w:p>
      <w:pPr>
        <w:widowControl/>
        <w:spacing w:line="400" w:lineRule="exact"/>
        <w:jc w:val="left"/>
        <w:textAlignment w:val="baseline"/>
        <w:rPr>
          <w:rFonts w:ascii="黑体" w:hAnsi="Calibri" w:eastAsia="黑体" w:cs="Times New Roman"/>
          <w:kern w:val="0"/>
          <w:sz w:val="28"/>
          <w:szCs w:val="28"/>
        </w:rPr>
      </w:pPr>
      <w:r>
        <w:rPr>
          <w:rFonts w:hint="eastAsia" w:ascii="黑体" w:hAnsi="Calibri" w:eastAsia="黑体" w:cs="Times New Roman"/>
          <w:kern w:val="0"/>
          <w:sz w:val="28"/>
          <w:szCs w:val="28"/>
        </w:rPr>
        <w:t>附表二</w:t>
      </w:r>
    </w:p>
    <w:p>
      <w:pPr>
        <w:snapToGrid w:val="0"/>
        <w:spacing w:line="400" w:lineRule="exact"/>
        <w:jc w:val="center"/>
        <w:textAlignment w:val="baseline"/>
        <w:rPr>
          <w:rFonts w:ascii="黑体" w:hAnsi="Calibri" w:eastAsia="黑体" w:cs="Times New Roman"/>
          <w:kern w:val="0"/>
          <w:sz w:val="30"/>
          <w:szCs w:val="30"/>
        </w:rPr>
      </w:pPr>
      <w:r>
        <w:rPr>
          <w:rFonts w:hint="eastAsia" w:ascii="黑体" w:hAnsi="Calibri" w:eastAsia="黑体" w:cs="Times New Roman"/>
          <w:kern w:val="0"/>
          <w:sz w:val="30"/>
          <w:szCs w:val="30"/>
        </w:rPr>
        <w:t>语言技能表</w:t>
      </w:r>
    </w:p>
    <w:p>
      <w:pPr>
        <w:snapToGrid w:val="0"/>
        <w:spacing w:line="400" w:lineRule="exact"/>
        <w:ind w:firstLine="480" w:firstLineChars="200"/>
        <w:jc w:val="left"/>
        <w:textAlignment w:val="baseline"/>
        <w:rPr>
          <w:rFonts w:ascii="Calibri" w:hAnsi="Calibri" w:eastAsia="宋体" w:cs="Times New Roman"/>
          <w:kern w:val="0"/>
          <w:sz w:val="20"/>
          <w:szCs w:val="21"/>
        </w:rPr>
      </w:pPr>
      <w:r>
        <w:rPr>
          <w:rFonts w:hint="eastAsia" w:ascii="宋体" w:hAnsi="宋体" w:eastAsia="宋体" w:cs="Times New Roman"/>
          <w:kern w:val="0"/>
          <w:sz w:val="24"/>
          <w:szCs w:val="21"/>
        </w:rPr>
        <w:t>一、本表列出英语课程教学中学生应在语言技能方面达到的基本要求。</w:t>
      </w:r>
    </w:p>
    <w:p>
      <w:pPr>
        <w:snapToGrid w:val="0"/>
        <w:spacing w:line="400" w:lineRule="exact"/>
        <w:ind w:firstLine="48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二、本表列出的语言技能要求较为概括，在教材编写和实际教学中应对相关的语言技能进行必要的拓展和灵活处理。</w:t>
      </w:r>
    </w:p>
    <w:p>
      <w:pPr>
        <w:snapToGrid w:val="0"/>
        <w:spacing w:line="400" w:lineRule="exact"/>
        <w:ind w:firstLine="478"/>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1.听的技能</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1）理解所听材料的主旨或要点</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2）理解具体信息</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3）理解所听材料的背景、说话人之间的关系等</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4）推断所听材料的含义</w:t>
      </w:r>
    </w:p>
    <w:p>
      <w:pPr>
        <w:snapToGrid w:val="0"/>
        <w:spacing w:line="400" w:lineRule="exact"/>
        <w:ind w:firstLine="478"/>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2.说的技能</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1）模拟或套用常用口头交际句型，就日常生活和有关业务提出问题和简短回答</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2）交流有困难时能采取简单的应变措施</w:t>
      </w:r>
    </w:p>
    <w:p>
      <w:pPr>
        <w:snapToGrid w:val="0"/>
        <w:spacing w:line="400" w:lineRule="exact"/>
        <w:ind w:firstLine="478"/>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3.阅读技能</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1）理解文章的主旨或要点</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2）理解文章中的具体信息</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3）根据上下文推断生词意思</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4）根据上下文作出简单的判断和推理</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5）理解文章的写作意图、作者的见解和态度等</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6）就文章内容作出结论</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7）快速查找有关信息</w:t>
      </w:r>
    </w:p>
    <w:p>
      <w:pPr>
        <w:snapToGrid w:val="0"/>
        <w:spacing w:line="400" w:lineRule="exact"/>
        <w:ind w:firstLine="478"/>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4.翻译（英译汉）技能</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1）正确翻译一般语句，基本符合汉语习惯</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2）正确掌握被动句式的译法</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3）正确掌握倍数的译法</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4）正确掌握定语从句的译法</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5）正确掌握长句的译法</w:t>
      </w:r>
    </w:p>
    <w:p>
      <w:pPr>
        <w:snapToGrid w:val="0"/>
        <w:spacing w:line="400" w:lineRule="exact"/>
        <w:ind w:firstLine="478"/>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5.写的技能</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1）正确使用所学的词、词组和句型</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2）语法及标点使用正确，句子结构完整</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3）句子意思清楚，符合逻辑顺序</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4）注意连贯性，正确使用连接手段：如first、second等</w:t>
      </w:r>
    </w:p>
    <w:p>
      <w:pPr>
        <w:snapToGrid w:val="0"/>
        <w:spacing w:line="400" w:lineRule="exact"/>
        <w:ind w:firstLine="720"/>
        <w:jc w:val="left"/>
        <w:textAlignment w:val="baseline"/>
        <w:rPr>
          <w:rFonts w:ascii="Calibri" w:hAnsi="Calibri" w:eastAsia="宋体" w:cs="Times New Roman"/>
          <w:kern w:val="0"/>
          <w:sz w:val="20"/>
          <w:szCs w:val="21"/>
        </w:rPr>
      </w:pPr>
      <w:r>
        <w:rPr>
          <w:rFonts w:ascii="宋体" w:hAnsi="宋体" w:eastAsia="宋体" w:cs="Times New Roman"/>
          <w:kern w:val="0"/>
          <w:sz w:val="24"/>
          <w:szCs w:val="21"/>
        </w:rPr>
        <w:t>5）正确套用或使用常见的应用文格式</w:t>
      </w:r>
    </w:p>
    <w:p>
      <w:pPr>
        <w:widowControl/>
        <w:jc w:val="left"/>
        <w:textAlignment w:val="baseline"/>
        <w:rPr>
          <w:rFonts w:ascii="Calibri" w:hAnsi="Calibri" w:eastAsia="宋体" w:cs="Times New Roman"/>
          <w:kern w:val="0"/>
          <w:sz w:val="20"/>
          <w:szCs w:val="21"/>
        </w:rPr>
      </w:pPr>
      <w:r>
        <w:rPr>
          <w:rFonts w:ascii="Calibri" w:hAnsi="Calibri" w:eastAsia="宋体" w:cs="Times New Roman"/>
          <w:kern w:val="0"/>
          <w:szCs w:val="21"/>
        </w:rPr>
        <w:br w:type="page"/>
      </w:r>
    </w:p>
    <w:p>
      <w:pPr>
        <w:spacing w:line="400" w:lineRule="exact"/>
        <w:jc w:val="left"/>
        <w:textAlignment w:val="baseline"/>
        <w:rPr>
          <w:rFonts w:ascii="黑体" w:hAnsi="黑体" w:eastAsia="黑体"/>
          <w:sz w:val="32"/>
        </w:rPr>
      </w:pPr>
      <w:r>
        <w:rPr>
          <w:rFonts w:hint="eastAsia" w:ascii="黑体" w:hAnsi="黑体" w:eastAsia="黑体"/>
          <w:sz w:val="32"/>
        </w:rPr>
        <w:t>附件</w:t>
      </w:r>
      <w:r>
        <w:rPr>
          <w:rFonts w:ascii="黑体" w:hAnsi="黑体" w:eastAsia="黑体"/>
          <w:sz w:val="32"/>
        </w:rPr>
        <w:t>5</w:t>
      </w:r>
    </w:p>
    <w:p>
      <w:pPr>
        <w:spacing w:line="400" w:lineRule="exact"/>
        <w:jc w:val="center"/>
        <w:textAlignment w:val="baseline"/>
        <w:rPr>
          <w:rFonts w:ascii="黑体" w:hAnsi="黑体" w:eastAsia="黑体"/>
          <w:sz w:val="32"/>
        </w:rPr>
      </w:pPr>
      <w:r>
        <w:rPr>
          <w:rFonts w:ascii="黑体" w:hAnsi="黑体" w:eastAsia="黑体"/>
          <w:sz w:val="32"/>
        </w:rPr>
        <w:t>2022年普通专升本退役大学生士兵职业适应性综合</w:t>
      </w:r>
    </w:p>
    <w:p>
      <w:pPr>
        <w:spacing w:line="400" w:lineRule="exact"/>
        <w:jc w:val="center"/>
        <w:textAlignment w:val="baseline"/>
        <w:rPr>
          <w:rFonts w:hint="eastAsia" w:ascii="黑体" w:hAnsi="黑体" w:eastAsia="黑体"/>
          <w:sz w:val="32"/>
        </w:rPr>
      </w:pPr>
      <w:r>
        <w:rPr>
          <w:rFonts w:ascii="黑体" w:hAnsi="黑体" w:eastAsia="黑体"/>
          <w:sz w:val="32"/>
        </w:rPr>
        <w:t>考查方案</w:t>
      </w:r>
    </w:p>
    <w:p>
      <w:pPr>
        <w:spacing w:line="500" w:lineRule="exact"/>
        <w:ind w:firstLine="600" w:firstLineChars="200"/>
        <w:jc w:val="left"/>
        <w:textAlignment w:val="baseline"/>
        <w:rPr>
          <w:rFonts w:ascii="仿宋_GB2312" w:hAnsi="仿宋" w:eastAsia="仿宋_GB2312"/>
          <w:color w:val="000000"/>
          <w:sz w:val="30"/>
          <w:szCs w:val="30"/>
        </w:rPr>
      </w:pPr>
      <w:r>
        <w:rPr>
          <w:rFonts w:hint="eastAsia" w:ascii="仿宋_GB2312" w:hAnsi="仿宋" w:eastAsia="仿宋_GB2312" w:cs="仿宋"/>
          <w:sz w:val="30"/>
          <w:szCs w:val="30"/>
          <w:lang w:val="zh-CN"/>
        </w:rPr>
        <w:t>本考试的目的是选拔部分</w:t>
      </w:r>
      <w:r>
        <w:rPr>
          <w:rFonts w:hint="eastAsia" w:ascii="仿宋_GB2312" w:hAnsi="仿宋" w:eastAsia="仿宋_GB2312" w:cs="仿宋"/>
          <w:sz w:val="30"/>
          <w:szCs w:val="30"/>
        </w:rPr>
        <w:t>退役大学生士兵</w:t>
      </w:r>
      <w:r>
        <w:rPr>
          <w:rFonts w:hint="eastAsia" w:ascii="仿宋_GB2312" w:hAnsi="仿宋" w:eastAsia="仿宋_GB2312" w:cs="仿宋"/>
          <w:sz w:val="30"/>
          <w:szCs w:val="30"/>
          <w:lang w:val="zh-CN"/>
        </w:rPr>
        <w:t>升入普通本科高校继续进行相关专业</w:t>
      </w:r>
      <w:r>
        <w:rPr>
          <w:rFonts w:hint="eastAsia" w:ascii="仿宋_GB2312" w:hAnsi="仿宋" w:eastAsia="仿宋_GB2312" w:cs="仿宋"/>
          <w:sz w:val="30"/>
          <w:szCs w:val="30"/>
        </w:rPr>
        <w:t>本</w:t>
      </w:r>
      <w:r>
        <w:rPr>
          <w:rFonts w:hint="eastAsia" w:ascii="仿宋_GB2312" w:hAnsi="仿宋" w:eastAsia="仿宋_GB2312" w:cs="仿宋"/>
          <w:sz w:val="30"/>
          <w:szCs w:val="30"/>
          <w:lang w:val="zh-CN"/>
        </w:rPr>
        <w:t>科阶段学习，考</w:t>
      </w:r>
      <w:r>
        <w:rPr>
          <w:rFonts w:hint="eastAsia" w:ascii="仿宋_GB2312" w:hAnsi="仿宋" w:eastAsia="仿宋_GB2312" w:cs="仿宋"/>
          <w:color w:val="000000"/>
          <w:kern w:val="0"/>
          <w:sz w:val="30"/>
          <w:szCs w:val="30"/>
          <w:lang w:val="zh-CN"/>
        </w:rPr>
        <w:t>查考生是否</w:t>
      </w:r>
      <w:r>
        <w:rPr>
          <w:rFonts w:hint="eastAsia" w:ascii="仿宋_GB2312" w:hAnsi="仿宋" w:eastAsia="仿宋_GB2312" w:cs="仿宋"/>
          <w:sz w:val="30"/>
          <w:szCs w:val="30"/>
        </w:rPr>
        <w:t>具有一定的马克思主义理论素养、军事理论素养、专业知识；是否具有运用马克思主义立场、观点、方法来分析、解决实际问题的能力；同时也考查考生是否具有一定的社会实践能力和理论创新能力。</w:t>
      </w:r>
    </w:p>
    <w:p>
      <w:pPr>
        <w:spacing w:line="500" w:lineRule="exact"/>
        <w:ind w:firstLine="600" w:firstLineChars="200"/>
        <w:jc w:val="left"/>
        <w:textAlignment w:val="baseline"/>
        <w:rPr>
          <w:rFonts w:ascii="仿宋_GB2312" w:hAnsi="仿宋" w:eastAsia="仿宋_GB2312" w:cs="仿宋"/>
          <w:sz w:val="30"/>
          <w:szCs w:val="30"/>
        </w:rPr>
      </w:pPr>
      <w:r>
        <w:rPr>
          <w:rFonts w:hint="eastAsia" w:ascii="黑体" w:hAnsi="黑体" w:eastAsia="黑体" w:cs="仿宋"/>
          <w:sz w:val="30"/>
          <w:szCs w:val="30"/>
        </w:rPr>
        <w:t>一、考试方式：</w:t>
      </w:r>
      <w:r>
        <w:rPr>
          <w:rFonts w:hint="eastAsia" w:ascii="仿宋_GB2312" w:hAnsi="仿宋" w:eastAsia="仿宋_GB2312" w:cs="仿宋"/>
          <w:sz w:val="30"/>
          <w:szCs w:val="30"/>
        </w:rPr>
        <w:t>笔试、闭卷</w:t>
      </w:r>
    </w:p>
    <w:p>
      <w:pPr>
        <w:spacing w:line="500" w:lineRule="exact"/>
        <w:ind w:firstLine="600" w:firstLineChars="200"/>
        <w:jc w:val="left"/>
        <w:textAlignment w:val="baseline"/>
        <w:rPr>
          <w:rFonts w:ascii="仿宋_GB2312" w:hAnsi="仿宋" w:eastAsia="仿宋_GB2312" w:cs="仿宋"/>
          <w:sz w:val="30"/>
          <w:szCs w:val="30"/>
        </w:rPr>
      </w:pPr>
      <w:r>
        <w:rPr>
          <w:rFonts w:hint="eastAsia" w:ascii="黑体" w:hAnsi="黑体" w:eastAsia="黑体" w:cs="仿宋"/>
          <w:sz w:val="30"/>
          <w:szCs w:val="30"/>
        </w:rPr>
        <w:t>二、考试时间：</w:t>
      </w:r>
      <w:r>
        <w:rPr>
          <w:rFonts w:hint="eastAsia" w:ascii="仿宋_GB2312" w:hAnsi="仿宋" w:eastAsia="仿宋_GB2312" w:cs="仿宋"/>
          <w:sz w:val="30"/>
          <w:szCs w:val="30"/>
        </w:rPr>
        <w:t>90分钟</w:t>
      </w:r>
    </w:p>
    <w:p>
      <w:pPr>
        <w:spacing w:line="400" w:lineRule="exact"/>
        <w:ind w:firstLine="600" w:firstLineChars="200"/>
        <w:jc w:val="left"/>
        <w:textAlignment w:val="baseline"/>
        <w:rPr>
          <w:rFonts w:ascii="仿宋_GB2312" w:hAnsi="仿宋" w:eastAsia="仿宋_GB2312" w:cs="仿宋"/>
          <w:sz w:val="30"/>
          <w:szCs w:val="30"/>
        </w:rPr>
      </w:pPr>
      <w:r>
        <w:rPr>
          <w:rFonts w:ascii="黑体" w:hAnsi="黑体" w:eastAsia="黑体" w:cs="仿宋"/>
          <w:sz w:val="30"/>
          <w:szCs w:val="30"/>
        </w:rPr>
        <w:t>三、考试要求及题型：</w:t>
      </w:r>
      <w:r>
        <w:rPr>
          <w:rFonts w:ascii="仿宋_GB2312" w:hAnsi="仿宋" w:eastAsia="仿宋_GB2312" w:cs="仿宋"/>
          <w:sz w:val="30"/>
          <w:szCs w:val="30"/>
        </w:rPr>
        <w:t>主要考查考生对政治理论、思想道德、军事理论、时事政治等方面内容的掌握程度以及运用有关原理分析、解决实际问题的能力。试卷总分：100分，题型包括：单选题、判断题、简答题、论述题</w:t>
      </w:r>
    </w:p>
    <w:p>
      <w:pPr>
        <w:widowControl/>
        <w:jc w:val="left"/>
        <w:rPr>
          <w:rFonts w:ascii="仿宋_GB2312" w:hAnsi="仿宋" w:eastAsia="仿宋_GB2312" w:cs="仿宋"/>
          <w:sz w:val="30"/>
          <w:szCs w:val="30"/>
        </w:rPr>
      </w:pPr>
      <w:r>
        <w:rPr>
          <w:rFonts w:ascii="仿宋_GB2312" w:hAnsi="仿宋" w:eastAsia="仿宋_GB2312" w:cs="仿宋"/>
          <w:sz w:val="30"/>
          <w:szCs w:val="30"/>
        </w:rPr>
        <w:br w:type="page"/>
      </w:r>
    </w:p>
    <w:p>
      <w:pPr>
        <w:spacing w:line="400" w:lineRule="exact"/>
        <w:ind w:firstLine="640" w:firstLineChars="200"/>
        <w:jc w:val="left"/>
        <w:textAlignment w:val="baseline"/>
        <w:rPr>
          <w:rFonts w:ascii="黑体" w:hAnsi="黑体" w:eastAsia="黑体"/>
          <w:sz w:val="32"/>
        </w:rPr>
      </w:pPr>
      <w:r>
        <w:rPr>
          <w:rFonts w:hint="eastAsia" w:ascii="黑体" w:hAnsi="黑体" w:eastAsia="黑体"/>
          <w:sz w:val="32"/>
        </w:rPr>
        <w:t>附件</w:t>
      </w:r>
      <w:r>
        <w:rPr>
          <w:rFonts w:ascii="黑体" w:hAnsi="黑体" w:eastAsia="黑体"/>
          <w:sz w:val="32"/>
        </w:rPr>
        <w:t>6</w:t>
      </w:r>
    </w:p>
    <w:p>
      <w:pPr>
        <w:spacing w:line="600" w:lineRule="exact"/>
        <w:jc w:val="center"/>
        <w:rPr>
          <w:rFonts w:ascii="方正小标宋简体" w:hAnsi="仿宋" w:eastAsia="方正小标宋简体"/>
          <w:color w:val="000000"/>
          <w:kern w:val="0"/>
          <w:sz w:val="32"/>
          <w:szCs w:val="32"/>
        </w:rPr>
      </w:pPr>
      <w:r>
        <w:rPr>
          <w:rFonts w:hint="eastAsia" w:ascii="方正小标宋简体" w:hAnsi="仿宋" w:eastAsia="方正小标宋简体"/>
          <w:color w:val="000000"/>
          <w:kern w:val="0"/>
          <w:sz w:val="32"/>
          <w:szCs w:val="32"/>
        </w:rPr>
        <w:t>“学信网”电子版学籍在线验证报告获取步骤</w:t>
      </w: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hint="eastAsia" w:ascii="仿宋_GB2312" w:hAnsi="Arial" w:eastAsia="仿宋_GB2312" w:cs="Arial"/>
          <w:color w:val="333333"/>
          <w:kern w:val="0"/>
          <w:sz w:val="28"/>
          <w:szCs w:val="24"/>
        </w:rPr>
        <w:t>学信网的学籍在线验证报告的打印，按以下步骤进行操作，即可完成：</w:t>
      </w: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hint="eastAsia" w:ascii="仿宋_GB2312" w:hAnsi="Arial" w:eastAsia="仿宋_GB2312" w:cs="Arial"/>
          <w:color w:val="333333"/>
          <w:kern w:val="0"/>
          <w:sz w:val="28"/>
          <w:szCs w:val="24"/>
        </w:rPr>
        <w:t>第一步，登录学信网的官网，点击链接学信网，进入网站的首页面。</w:t>
      </w:r>
    </w:p>
    <w:p>
      <w:pPr>
        <w:widowControl/>
        <w:shd w:val="clear" w:color="auto" w:fill="FFFFFF"/>
        <w:ind w:right="-483" w:rightChars="-230"/>
        <w:jc w:val="left"/>
        <w:rPr>
          <w:rFonts w:ascii="Arial" w:hAnsi="Arial" w:eastAsia="宋体" w:cs="Arial"/>
          <w:color w:val="333333"/>
          <w:kern w:val="0"/>
          <w:sz w:val="24"/>
          <w:szCs w:val="24"/>
        </w:rPr>
      </w:pPr>
      <w:r>
        <w:rPr>
          <w:rFonts w:ascii="Arial" w:hAnsi="Arial" w:eastAsia="宋体" w:cs="Arial"/>
          <w:color w:val="333333"/>
          <w:kern w:val="0"/>
          <w:sz w:val="24"/>
          <w:szCs w:val="24"/>
        </w:rPr>
        <w:drawing>
          <wp:inline distT="0" distB="0" distL="0" distR="0">
            <wp:extent cx="4752975" cy="2381250"/>
            <wp:effectExtent l="0" t="0" r="9525" b="0"/>
            <wp:docPr id="1026" name="图片 41" descr="https://p.ssl.qhimg.com/t01044c291ea09f3166.jpg"/>
            <wp:cNvGraphicFramePr/>
            <a:graphic xmlns:a="http://schemas.openxmlformats.org/drawingml/2006/main">
              <a:graphicData uri="http://schemas.openxmlformats.org/drawingml/2006/picture">
                <pic:pic xmlns:pic="http://schemas.openxmlformats.org/drawingml/2006/picture">
                  <pic:nvPicPr>
                    <pic:cNvPr id="1026" name="图片 41" descr="https://p.ssl.qhimg.com/t01044c291ea09f3166.jpg"/>
                    <pic:cNvPicPr/>
                  </pic:nvPicPr>
                  <pic:blipFill>
                    <a:blip r:embed="rId6" cstate="print"/>
                    <a:srcRect/>
                    <a:stretch>
                      <a:fillRect/>
                    </a:stretch>
                  </pic:blipFill>
                  <pic:spPr>
                    <a:xfrm>
                      <a:off x="0" y="0"/>
                      <a:ext cx="4752975" cy="2381250"/>
                    </a:xfrm>
                    <a:prstGeom prst="rect">
                      <a:avLst/>
                    </a:prstGeom>
                    <a:ln>
                      <a:noFill/>
                    </a:ln>
                  </pic:spPr>
                </pic:pic>
              </a:graphicData>
            </a:graphic>
          </wp:inline>
        </w:drawing>
      </w: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第二步，在打开页面的左上方，找到“学籍查询”的按纽，点击进入下级页面。</w:t>
      </w:r>
    </w:p>
    <w:p>
      <w:pPr>
        <w:widowControl/>
        <w:shd w:val="clear" w:color="auto" w:fill="FFFFFF"/>
        <w:jc w:val="left"/>
        <w:rPr>
          <w:rFonts w:ascii="Arial" w:hAnsi="Arial" w:eastAsia="宋体" w:cs="Arial"/>
          <w:color w:val="333333"/>
          <w:kern w:val="0"/>
          <w:sz w:val="24"/>
          <w:szCs w:val="24"/>
        </w:rPr>
      </w:pPr>
      <w:r>
        <w:rPr>
          <w:rFonts w:ascii="Arial" w:hAnsi="Arial" w:eastAsia="宋体" w:cs="Arial"/>
          <w:color w:val="333333"/>
          <w:kern w:val="0"/>
          <w:sz w:val="24"/>
          <w:szCs w:val="24"/>
        </w:rPr>
        <w:drawing>
          <wp:inline distT="0" distB="0" distL="0" distR="0">
            <wp:extent cx="4772025" cy="2381250"/>
            <wp:effectExtent l="0" t="0" r="9525" b="0"/>
            <wp:docPr id="1027" name="图片 42" descr="https://p.ssl.qhimg.com/t0107c58baceddcd9da.jpg"/>
            <wp:cNvGraphicFramePr/>
            <a:graphic xmlns:a="http://schemas.openxmlformats.org/drawingml/2006/main">
              <a:graphicData uri="http://schemas.openxmlformats.org/drawingml/2006/picture">
                <pic:pic xmlns:pic="http://schemas.openxmlformats.org/drawingml/2006/picture">
                  <pic:nvPicPr>
                    <pic:cNvPr id="1027" name="图片 42" descr="https://p.ssl.qhimg.com/t0107c58baceddcd9da.jpg"/>
                    <pic:cNvPicPr/>
                  </pic:nvPicPr>
                  <pic:blipFill>
                    <a:blip r:embed="rId7" cstate="print"/>
                    <a:srcRect/>
                    <a:stretch>
                      <a:fillRect/>
                    </a:stretch>
                  </pic:blipFill>
                  <pic:spPr>
                    <a:xfrm>
                      <a:off x="0" y="0"/>
                      <a:ext cx="4772025" cy="2381250"/>
                    </a:xfrm>
                    <a:prstGeom prst="rect">
                      <a:avLst/>
                    </a:prstGeom>
                    <a:ln>
                      <a:noFill/>
                    </a:ln>
                  </pic:spPr>
                </pic:pic>
              </a:graphicData>
            </a:graphic>
          </wp:inline>
        </w:drawing>
      </w: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第三步，在打开页面会显示“登录学信档案”和“注册学信网账号”（没有账号需要注册），有账号直接选择“登录学信档案”的按纽，点击进入下级页面。</w:t>
      </w:r>
    </w:p>
    <w:p>
      <w:pPr>
        <w:widowControl/>
        <w:shd w:val="clear" w:color="auto" w:fill="FFFFFF"/>
        <w:jc w:val="left"/>
        <w:rPr>
          <w:rFonts w:ascii="Arial" w:hAnsi="Arial" w:eastAsia="宋体" w:cs="Arial"/>
          <w:color w:val="333333"/>
          <w:kern w:val="0"/>
          <w:sz w:val="24"/>
          <w:szCs w:val="24"/>
        </w:rPr>
      </w:pPr>
      <w:r>
        <w:rPr>
          <w:rFonts w:ascii="Arial" w:hAnsi="Arial" w:eastAsia="宋体" w:cs="Arial"/>
          <w:color w:val="333333"/>
          <w:kern w:val="0"/>
          <w:sz w:val="24"/>
          <w:szCs w:val="24"/>
        </w:rPr>
        <w:drawing>
          <wp:inline distT="0" distB="0" distL="0" distR="0">
            <wp:extent cx="4949825" cy="2201545"/>
            <wp:effectExtent l="0" t="0" r="3175" b="8255"/>
            <wp:docPr id="1028" name="图片 43" descr="https://p.ssl.qhimg.com/t01dac30f4bca101590.jpg"/>
            <wp:cNvGraphicFramePr/>
            <a:graphic xmlns:a="http://schemas.openxmlformats.org/drawingml/2006/main">
              <a:graphicData uri="http://schemas.openxmlformats.org/drawingml/2006/picture">
                <pic:pic xmlns:pic="http://schemas.openxmlformats.org/drawingml/2006/picture">
                  <pic:nvPicPr>
                    <pic:cNvPr id="1028" name="图片 43" descr="https://p.ssl.qhimg.com/t01dac30f4bca101590.jpg"/>
                    <pic:cNvPicPr/>
                  </pic:nvPicPr>
                  <pic:blipFill>
                    <a:blip r:embed="rId8" cstate="print"/>
                    <a:srcRect/>
                    <a:stretch>
                      <a:fillRect/>
                    </a:stretch>
                  </pic:blipFill>
                  <pic:spPr>
                    <a:xfrm>
                      <a:off x="0" y="0"/>
                      <a:ext cx="4973167" cy="2212444"/>
                    </a:xfrm>
                    <a:prstGeom prst="rect">
                      <a:avLst/>
                    </a:prstGeom>
                    <a:ln>
                      <a:noFill/>
                    </a:ln>
                  </pic:spPr>
                </pic:pic>
              </a:graphicData>
            </a:graphic>
          </wp:inline>
        </w:drawing>
      </w: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第四步，在打开页面录入学信网的账号信息，包括用户名和密码，然后点击“登录”进入下级页面。</w:t>
      </w:r>
    </w:p>
    <w:p>
      <w:pPr>
        <w:widowControl/>
        <w:shd w:val="clear" w:color="auto" w:fill="FFFFFF"/>
        <w:jc w:val="left"/>
        <w:rPr>
          <w:rFonts w:ascii="Arial" w:hAnsi="Arial" w:eastAsia="宋体" w:cs="Arial"/>
          <w:color w:val="333333"/>
          <w:kern w:val="0"/>
          <w:sz w:val="24"/>
          <w:szCs w:val="24"/>
        </w:rPr>
      </w:pPr>
      <w:r>
        <w:rPr>
          <w:rFonts w:hint="eastAsia" w:ascii="Arial" w:hAnsi="Arial" w:eastAsia="宋体" w:cs="Arial"/>
          <w:color w:val="333333"/>
          <w:kern w:val="0"/>
          <w:sz w:val="24"/>
          <w:szCs w:val="24"/>
        </w:rPr>
        <w:drawing>
          <wp:anchor distT="0" distB="0" distL="0" distR="0" simplePos="0" relativeHeight="251659264" behindDoc="0" locked="0" layoutInCell="1" allowOverlap="1">
            <wp:simplePos x="0" y="0"/>
            <wp:positionH relativeFrom="column">
              <wp:posOffset>80010</wp:posOffset>
            </wp:positionH>
            <wp:positionV relativeFrom="paragraph">
              <wp:posOffset>102235</wp:posOffset>
            </wp:positionV>
            <wp:extent cx="4713605" cy="2228215"/>
            <wp:effectExtent l="44450" t="44450" r="99695" b="108585"/>
            <wp:wrapNone/>
            <wp:docPr id="1029" name="图片 1"/>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r:embed="rId9" cstate="print"/>
                    <a:srcRect/>
                    <a:stretch>
                      <a:fillRect/>
                    </a:stretch>
                  </pic:blipFill>
                  <pic:spPr>
                    <a:xfrm>
                      <a:off x="0" y="0"/>
                      <a:ext cx="4721459" cy="2231728"/>
                    </a:xfrm>
                    <a:prstGeom prst="rect">
                      <a:avLst/>
                    </a:prstGeom>
                    <a:ln w="28575" cap="sq" cmpd="sng">
                      <a:solidFill>
                        <a:srgbClr val="000000"/>
                      </a:solidFill>
                      <a:prstDash val="solid"/>
                      <a:miter/>
                    </a:ln>
                    <a:effectLst>
                      <a:outerShdw blurRad="50800" dist="38100" dir="2700000" algn="tl" rotWithShape="0">
                        <a:srgbClr val="000000">
                          <a:alpha val="43000"/>
                        </a:srgbClr>
                      </a:outerShdw>
                    </a:effectLst>
                  </pic:spPr>
                </pic:pic>
              </a:graphicData>
            </a:graphic>
          </wp:anchor>
        </w:drawing>
      </w: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第五步，在打开页面可看到，“在线验证报告”下方有“查看”和“申请”两个选项，没有申请的需要点击“申请”的按纽，已经申请过的点击“查看”的按纽，此处点击“查看”进入下级页面。</w:t>
      </w:r>
    </w:p>
    <w:p>
      <w:pPr>
        <w:widowControl/>
        <w:shd w:val="clear" w:color="auto" w:fill="FFFFFF"/>
        <w:jc w:val="left"/>
        <w:rPr>
          <w:rFonts w:ascii="Arial" w:hAnsi="Arial" w:eastAsia="宋体" w:cs="Arial"/>
          <w:color w:val="333333"/>
          <w:kern w:val="0"/>
          <w:sz w:val="24"/>
          <w:szCs w:val="24"/>
        </w:rPr>
      </w:pPr>
      <w:r>
        <w:rPr>
          <w:rFonts w:hint="eastAsia" w:ascii="Arial" w:hAnsi="Arial" w:eastAsia="宋体" w:cs="Arial"/>
          <w:color w:val="333333"/>
          <w:kern w:val="0"/>
          <w:sz w:val="24"/>
          <w:szCs w:val="24"/>
        </w:rPr>
        <w:drawing>
          <wp:anchor distT="0" distB="0" distL="0" distR="0" simplePos="0" relativeHeight="251662336" behindDoc="0" locked="0" layoutInCell="1" allowOverlap="1">
            <wp:simplePos x="0" y="0"/>
            <wp:positionH relativeFrom="column">
              <wp:posOffset>76200</wp:posOffset>
            </wp:positionH>
            <wp:positionV relativeFrom="paragraph">
              <wp:posOffset>36830</wp:posOffset>
            </wp:positionV>
            <wp:extent cx="4885690" cy="2496820"/>
            <wp:effectExtent l="0" t="0" r="10160" b="17780"/>
            <wp:wrapNone/>
            <wp:docPr id="1030" name="图片 45" descr="https://p.ssl.qhimg.com/t015aa4c5aa8491bdea.jpg"/>
            <wp:cNvGraphicFramePr/>
            <a:graphic xmlns:a="http://schemas.openxmlformats.org/drawingml/2006/main">
              <a:graphicData uri="http://schemas.openxmlformats.org/drawingml/2006/picture">
                <pic:pic xmlns:pic="http://schemas.openxmlformats.org/drawingml/2006/picture">
                  <pic:nvPicPr>
                    <pic:cNvPr id="1030" name="图片 45" descr="https://p.ssl.qhimg.com/t015aa4c5aa8491bdea.jpg"/>
                    <pic:cNvPicPr/>
                  </pic:nvPicPr>
                  <pic:blipFill>
                    <a:blip r:embed="rId10" cstate="print"/>
                    <a:srcRect/>
                    <a:stretch>
                      <a:fillRect/>
                    </a:stretch>
                  </pic:blipFill>
                  <pic:spPr>
                    <a:xfrm>
                      <a:off x="0" y="0"/>
                      <a:ext cx="4885966" cy="2496710"/>
                    </a:xfrm>
                    <a:prstGeom prst="rect">
                      <a:avLst/>
                    </a:prstGeom>
                    <a:ln>
                      <a:noFill/>
                    </a:ln>
                  </pic:spPr>
                </pic:pic>
              </a:graphicData>
            </a:graphic>
          </wp:anchor>
        </w:drawing>
      </w: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第六步，在打开页面的左上方，找到“教育部学籍在线验证报告”下方的“查看”按纽，点击进入下级页面。</w:t>
      </w:r>
    </w:p>
    <w:p>
      <w:pPr>
        <w:widowControl/>
        <w:shd w:val="clear" w:color="auto" w:fill="FFFFFF"/>
        <w:jc w:val="left"/>
        <w:rPr>
          <w:rFonts w:ascii="Arial" w:hAnsi="Arial" w:eastAsia="宋体" w:cs="Arial"/>
          <w:color w:val="333333"/>
          <w:kern w:val="0"/>
          <w:sz w:val="24"/>
          <w:szCs w:val="24"/>
        </w:rPr>
      </w:pPr>
      <w:r>
        <w:rPr>
          <w:rFonts w:ascii="Arial" w:hAnsi="Arial" w:eastAsia="宋体" w:cs="Arial"/>
          <w:color w:val="333333"/>
          <w:kern w:val="0"/>
          <w:sz w:val="24"/>
          <w:szCs w:val="24"/>
        </w:rPr>
        <w:drawing>
          <wp:inline distT="0" distB="0" distL="0" distR="0">
            <wp:extent cx="5008245" cy="2176145"/>
            <wp:effectExtent l="0" t="0" r="1905" b="14605"/>
            <wp:docPr id="1031" name="图片 46" descr="https://p.ssl.qhimg.com/t0164230de37d827c2e.jpg"/>
            <wp:cNvGraphicFramePr/>
            <a:graphic xmlns:a="http://schemas.openxmlformats.org/drawingml/2006/main">
              <a:graphicData uri="http://schemas.openxmlformats.org/drawingml/2006/picture">
                <pic:pic xmlns:pic="http://schemas.openxmlformats.org/drawingml/2006/picture">
                  <pic:nvPicPr>
                    <pic:cNvPr id="1031" name="图片 46" descr="https://p.ssl.qhimg.com/t0164230de37d827c2e.jpg"/>
                    <pic:cNvPicPr/>
                  </pic:nvPicPr>
                  <pic:blipFill>
                    <a:blip r:embed="rId11" cstate="print"/>
                    <a:srcRect/>
                    <a:stretch>
                      <a:fillRect/>
                    </a:stretch>
                  </pic:blipFill>
                  <pic:spPr>
                    <a:xfrm>
                      <a:off x="0" y="0"/>
                      <a:ext cx="5016293" cy="2180027"/>
                    </a:xfrm>
                    <a:prstGeom prst="rect">
                      <a:avLst/>
                    </a:prstGeom>
                    <a:ln>
                      <a:noFill/>
                    </a:ln>
                  </pic:spPr>
                </pic:pic>
              </a:graphicData>
            </a:graphic>
          </wp:inline>
        </w:drawing>
      </w: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第七步，在打开页面会显示您的学校、及“已申请的报告”信息，找到右侧的“查看”的按纽，点击进入下级页面。</w:t>
      </w:r>
    </w:p>
    <w:p>
      <w:pPr>
        <w:widowControl/>
        <w:shd w:val="clear" w:color="auto" w:fill="FFFFFF"/>
        <w:jc w:val="left"/>
        <w:rPr>
          <w:rFonts w:ascii="Arial" w:hAnsi="Arial" w:eastAsia="宋体" w:cs="Arial"/>
          <w:color w:val="333333"/>
          <w:kern w:val="0"/>
          <w:sz w:val="24"/>
          <w:szCs w:val="24"/>
        </w:rPr>
      </w:pPr>
      <w:r>
        <w:rPr>
          <w:rFonts w:hint="eastAsia" w:ascii="Arial" w:hAnsi="Arial" w:eastAsia="宋体" w:cs="Arial"/>
          <w:color w:val="333333"/>
          <w:kern w:val="0"/>
          <w:sz w:val="24"/>
          <w:szCs w:val="24"/>
        </w:rPr>
        <w:drawing>
          <wp:anchor distT="0" distB="0" distL="0" distR="0" simplePos="0" relativeHeight="251660288" behindDoc="0" locked="0" layoutInCell="1" allowOverlap="1">
            <wp:simplePos x="0" y="0"/>
            <wp:positionH relativeFrom="column">
              <wp:posOffset>15875</wp:posOffset>
            </wp:positionH>
            <wp:positionV relativeFrom="paragraph">
              <wp:posOffset>99060</wp:posOffset>
            </wp:positionV>
            <wp:extent cx="5001260" cy="2328545"/>
            <wp:effectExtent l="44450" t="44450" r="116840" b="103505"/>
            <wp:wrapNone/>
            <wp:docPr id="1032" name="图片 7"/>
            <wp:cNvGraphicFramePr/>
            <a:graphic xmlns:a="http://schemas.openxmlformats.org/drawingml/2006/main">
              <a:graphicData uri="http://schemas.openxmlformats.org/drawingml/2006/picture">
                <pic:pic xmlns:pic="http://schemas.openxmlformats.org/drawingml/2006/picture">
                  <pic:nvPicPr>
                    <pic:cNvPr id="1032" name="图片 7"/>
                    <pic:cNvPicPr/>
                  </pic:nvPicPr>
                  <pic:blipFill>
                    <a:blip r:embed="rId12" cstate="print"/>
                    <a:srcRect/>
                    <a:stretch>
                      <a:fillRect/>
                    </a:stretch>
                  </pic:blipFill>
                  <pic:spPr>
                    <a:xfrm>
                      <a:off x="0" y="0"/>
                      <a:ext cx="5000984" cy="2328240"/>
                    </a:xfrm>
                    <a:prstGeom prst="rect">
                      <a:avLst/>
                    </a:prstGeom>
                    <a:ln w="28575" cap="sq" cmpd="sng">
                      <a:solidFill>
                        <a:srgbClr val="000000"/>
                      </a:solidFill>
                      <a:prstDash val="solid"/>
                      <a:miter/>
                    </a:ln>
                    <a:effectLst>
                      <a:outerShdw blurRad="50800" dist="38100" dir="2700000" algn="tl" rotWithShape="0">
                        <a:srgbClr val="000000">
                          <a:alpha val="43000"/>
                        </a:srgbClr>
                      </a:outerShdw>
                    </a:effectLst>
                  </pic:spPr>
                </pic:pic>
              </a:graphicData>
            </a:graphic>
          </wp:anchor>
        </w:drawing>
      </w: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jc w:val="left"/>
        <w:rPr>
          <w:rFonts w:ascii="Arial" w:hAnsi="Arial" w:eastAsia="宋体" w:cs="Arial"/>
          <w:color w:val="333333"/>
          <w:kern w:val="0"/>
          <w:sz w:val="24"/>
          <w:szCs w:val="24"/>
        </w:rPr>
      </w:pPr>
    </w:p>
    <w:p>
      <w:pPr>
        <w:widowControl/>
        <w:shd w:val="clear" w:color="auto" w:fill="FFFFFF"/>
        <w:spacing w:line="400" w:lineRule="exact"/>
        <w:ind w:firstLine="560" w:firstLineChars="200"/>
        <w:jc w:val="left"/>
        <w:rPr>
          <w:rFonts w:ascii="仿宋_GB2312" w:hAnsi="Arial" w:eastAsia="仿宋_GB2312" w:cs="Arial"/>
          <w:color w:val="333333"/>
          <w:kern w:val="0"/>
          <w:sz w:val="28"/>
          <w:szCs w:val="24"/>
        </w:rPr>
      </w:pPr>
      <w:r>
        <w:rPr>
          <w:rFonts w:ascii="仿宋_GB2312" w:hAnsi="Arial" w:eastAsia="仿宋_GB2312" w:cs="Arial"/>
          <w:color w:val="333333"/>
          <w:kern w:val="0"/>
          <w:sz w:val="28"/>
          <w:szCs w:val="24"/>
        </w:rPr>
        <w:t>第八步，在打开的页面，会显示您的“教育部学籍在线验证报告”的详细内容，找到右上角的小打印机的标志，点击即可进行打印。</w:t>
      </w:r>
    </w:p>
    <w:p>
      <w:pPr>
        <w:widowControl/>
        <w:shd w:val="clear" w:color="auto" w:fill="FFFFFF"/>
        <w:jc w:val="left"/>
        <w:rPr>
          <w:rFonts w:ascii="Arial" w:hAnsi="Arial" w:eastAsia="宋体" w:cs="Arial"/>
          <w:color w:val="333333"/>
          <w:kern w:val="0"/>
          <w:sz w:val="24"/>
          <w:szCs w:val="24"/>
        </w:rPr>
      </w:pPr>
      <w:r>
        <w:rPr>
          <w:rFonts w:ascii="Arial" w:hAnsi="Arial" w:eastAsia="宋体" w:cs="Arial"/>
          <w:color w:val="333333"/>
          <w:kern w:val="0"/>
          <w:sz w:val="24"/>
          <w:szCs w:val="24"/>
        </w:rPr>
        <w:drawing>
          <wp:anchor distT="0" distB="0" distL="0" distR="0" simplePos="0" relativeHeight="251661312" behindDoc="0" locked="0" layoutInCell="1" allowOverlap="1">
            <wp:simplePos x="0" y="0"/>
            <wp:positionH relativeFrom="column">
              <wp:posOffset>80010</wp:posOffset>
            </wp:positionH>
            <wp:positionV relativeFrom="paragraph">
              <wp:posOffset>137795</wp:posOffset>
            </wp:positionV>
            <wp:extent cx="4931410" cy="2099310"/>
            <wp:effectExtent l="44450" t="44450" r="110490" b="104140"/>
            <wp:wrapNone/>
            <wp:docPr id="1033" name="图片 10"/>
            <wp:cNvGraphicFramePr/>
            <a:graphic xmlns:a="http://schemas.openxmlformats.org/drawingml/2006/main">
              <a:graphicData uri="http://schemas.openxmlformats.org/drawingml/2006/picture">
                <pic:pic xmlns:pic="http://schemas.openxmlformats.org/drawingml/2006/picture">
                  <pic:nvPicPr>
                    <pic:cNvPr id="1033" name="图片 10"/>
                    <pic:cNvPicPr/>
                  </pic:nvPicPr>
                  <pic:blipFill>
                    <a:blip r:embed="rId13" cstate="print"/>
                    <a:srcRect/>
                    <a:stretch>
                      <a:fillRect/>
                    </a:stretch>
                  </pic:blipFill>
                  <pic:spPr>
                    <a:xfrm>
                      <a:off x="0" y="0"/>
                      <a:ext cx="4934368" cy="2100516"/>
                    </a:xfrm>
                    <a:prstGeom prst="rect">
                      <a:avLst/>
                    </a:prstGeom>
                    <a:ln w="28575" cap="sq" cmpd="sng">
                      <a:solidFill>
                        <a:srgbClr val="000000"/>
                      </a:solidFill>
                      <a:prstDash val="solid"/>
                      <a:miter/>
                    </a:ln>
                    <a:effectLst>
                      <a:outerShdw blurRad="50800" dist="38100" dir="2700000" algn="tl" rotWithShape="0">
                        <a:srgbClr val="000000">
                          <a:alpha val="43000"/>
                        </a:srgbClr>
                      </a:outerShdw>
                    </a:effectLst>
                  </pic:spPr>
                </pic:pic>
              </a:graphicData>
            </a:graphic>
          </wp:anchor>
        </w:drawing>
      </w:r>
    </w:p>
    <w:p>
      <w:pPr>
        <w:spacing w:line="600" w:lineRule="exact"/>
        <w:jc w:val="left"/>
        <w:rPr>
          <w:rFonts w:ascii="黑体" w:hAnsi="黑体" w:eastAsia="黑体" w:cs="黑体"/>
          <w:color w:val="000000"/>
          <w:sz w:val="28"/>
          <w:szCs w:val="28"/>
        </w:rPr>
      </w:pPr>
    </w:p>
    <w:p>
      <w:pPr>
        <w:widowControl/>
        <w:spacing w:line="560" w:lineRule="exact"/>
        <w:rPr>
          <w:rFonts w:ascii="仿宋_GB2312" w:hAnsi="黑体" w:eastAsia="仿宋_GB2312" w:cs="仿宋_GB2312"/>
          <w:b/>
          <w:color w:val="000000"/>
          <w:sz w:val="32"/>
          <w:szCs w:val="32"/>
        </w:rPr>
      </w:pPr>
    </w:p>
    <w:p>
      <w:pPr>
        <w:spacing w:line="600" w:lineRule="exact"/>
        <w:jc w:val="left"/>
        <w:rPr>
          <w:rFonts w:ascii="黑体" w:hAnsi="黑体" w:eastAsia="黑体" w:cs="黑体"/>
          <w:color w:val="000000"/>
          <w:sz w:val="28"/>
          <w:szCs w:val="28"/>
        </w:rPr>
      </w:pPr>
    </w:p>
    <w:p>
      <w:pPr>
        <w:spacing w:line="600" w:lineRule="exact"/>
        <w:jc w:val="left"/>
        <w:rPr>
          <w:rFonts w:ascii="黑体" w:hAnsi="黑体" w:eastAsia="黑体" w:cs="黑体"/>
          <w:color w:val="000000"/>
          <w:sz w:val="28"/>
          <w:szCs w:val="28"/>
        </w:rPr>
      </w:pPr>
    </w:p>
    <w:p>
      <w:pPr>
        <w:widowControl/>
        <w:spacing w:line="560" w:lineRule="exact"/>
        <w:textAlignment w:val="baseline"/>
        <w:rPr>
          <w:rFonts w:ascii="仿宋_GB2312" w:hAnsi="黑体" w:eastAsia="仿宋_GB2312" w:cs="仿宋_GB2312"/>
          <w:b/>
          <w:color w:val="000000"/>
          <w:sz w:val="32"/>
          <w:szCs w:val="32"/>
        </w:rPr>
      </w:pPr>
    </w:p>
    <w:p>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048342443"/>
      <w:docPartObj>
        <w:docPartGallery w:val="autotext"/>
      </w:docPartObj>
    </w:sdtPr>
    <w:sdtEndPr>
      <w:rPr>
        <w:rFonts w:hint="eastAsia" w:ascii="仿宋_GB2312" w:eastAsia="仿宋_GB2312"/>
        <w:sz w:val="21"/>
      </w:rPr>
    </w:sdtEndPr>
    <w:sdtContent>
      <w:p>
        <w:pPr>
          <w:pStyle w:val="2"/>
          <w:wordWrap w:val="0"/>
          <w:jc w:val="right"/>
          <w:rPr>
            <w:rFonts w:ascii="仿宋_GB2312" w:eastAsia="仿宋_GB2312"/>
            <w:sz w:val="21"/>
          </w:rPr>
        </w:pPr>
        <w:r>
          <w:rPr>
            <w:rFonts w:hint="eastAsia" w:ascii="仿宋_GB2312" w:eastAsia="仿宋_GB2312"/>
            <w:sz w:val="21"/>
          </w:rPr>
          <w:t xml:space="preserve">— </w:t>
        </w:r>
        <w:r>
          <w:rPr>
            <w:rFonts w:hint="eastAsia" w:ascii="仿宋_GB2312" w:eastAsia="仿宋_GB2312"/>
            <w:sz w:val="21"/>
          </w:rPr>
          <w:fldChar w:fldCharType="begin"/>
        </w:r>
        <w:r>
          <w:rPr>
            <w:rFonts w:hint="eastAsia" w:ascii="仿宋_GB2312" w:eastAsia="仿宋_GB2312"/>
            <w:sz w:val="21"/>
          </w:rPr>
          <w:instrText xml:space="preserve">PAGE   \* MERGEFORMAT</w:instrText>
        </w:r>
        <w:r>
          <w:rPr>
            <w:rFonts w:hint="eastAsia" w:ascii="仿宋_GB2312" w:eastAsia="仿宋_GB2312"/>
            <w:sz w:val="21"/>
          </w:rPr>
          <w:fldChar w:fldCharType="separate"/>
        </w:r>
        <w:r>
          <w:rPr>
            <w:rFonts w:ascii="仿宋_GB2312" w:eastAsia="仿宋_GB2312"/>
            <w:sz w:val="21"/>
            <w:lang w:val="zh-CN"/>
          </w:rPr>
          <w:t>25</w:t>
        </w:r>
        <w:r>
          <w:rPr>
            <w:rFonts w:hint="eastAsia" w:ascii="仿宋_GB2312" w:eastAsia="仿宋_GB2312"/>
            <w:sz w:val="21"/>
          </w:rPr>
          <w:fldChar w:fldCharType="end"/>
        </w:r>
        <w:r>
          <w:rPr>
            <w:rFonts w:hint="eastAsia" w:ascii="仿宋_GB2312" w:eastAsia="仿宋_GB2312"/>
            <w:sz w:val="21"/>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631784361"/>
      <w:docPartObj>
        <w:docPartGallery w:val="autotext"/>
      </w:docPartObj>
    </w:sdtPr>
    <w:sdtEndPr>
      <w:rPr>
        <w:rFonts w:hint="eastAsia" w:ascii="仿宋_GB2312" w:eastAsia="仿宋_GB2312"/>
        <w:sz w:val="21"/>
      </w:rPr>
    </w:sdtEndPr>
    <w:sdtContent>
      <w:p>
        <w:pPr>
          <w:pStyle w:val="2"/>
          <w:wordWrap w:val="0"/>
          <w:ind w:right="420"/>
          <w:rPr>
            <w:rFonts w:ascii="仿宋_GB2312" w:eastAsia="仿宋_GB2312"/>
            <w:sz w:val="21"/>
          </w:rPr>
        </w:pPr>
        <w:r>
          <w:rPr>
            <w:rFonts w:hint="eastAsia" w:ascii="仿宋_GB2312" w:eastAsia="仿宋_GB2312"/>
            <w:sz w:val="21"/>
          </w:rPr>
          <w:t xml:space="preserve">— </w:t>
        </w:r>
        <w:r>
          <w:rPr>
            <w:rFonts w:hint="eastAsia" w:ascii="仿宋_GB2312" w:eastAsia="仿宋_GB2312"/>
            <w:sz w:val="21"/>
          </w:rPr>
          <w:fldChar w:fldCharType="begin"/>
        </w:r>
        <w:r>
          <w:rPr>
            <w:rFonts w:hint="eastAsia" w:ascii="仿宋_GB2312" w:eastAsia="仿宋_GB2312"/>
            <w:sz w:val="21"/>
          </w:rPr>
          <w:instrText xml:space="preserve">PAGE   \* MERGEFORMAT</w:instrText>
        </w:r>
        <w:r>
          <w:rPr>
            <w:rFonts w:hint="eastAsia" w:ascii="仿宋_GB2312" w:eastAsia="仿宋_GB2312"/>
            <w:sz w:val="21"/>
          </w:rPr>
          <w:fldChar w:fldCharType="separate"/>
        </w:r>
        <w:r>
          <w:rPr>
            <w:rFonts w:ascii="仿宋_GB2312" w:eastAsia="仿宋_GB2312"/>
            <w:sz w:val="21"/>
            <w:lang w:val="zh-CN"/>
          </w:rPr>
          <w:t>24</w:t>
        </w:r>
        <w:r>
          <w:rPr>
            <w:rFonts w:hint="eastAsia" w:ascii="仿宋_GB2312" w:eastAsia="仿宋_GB2312"/>
            <w:sz w:val="21"/>
          </w:rPr>
          <w:fldChar w:fldCharType="end"/>
        </w:r>
        <w:r>
          <w:rPr>
            <w:rFonts w:hint="eastAsia" w:ascii="仿宋_GB2312" w:eastAsia="仿宋_GB2312"/>
            <w:sz w:val="21"/>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3299C"/>
    <w:multiLevelType w:val="singleLevel"/>
    <w:tmpl w:val="E8B3299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00B7F"/>
    <w:rsid w:val="4E40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2022-03-22T12:54:00Z</dcterms:created>
  <dc:creator>Administrator</dc:creator>
  <cp:lastModifiedBy>Administrator</cp:lastModifiedBy>
  <dcterms:modified xsi:type="dcterms:W3CDTF">2022-03-22T12:54:18Z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C5C05A12494D457DB2D41AC4666A1887</vt:lpwstr>
  </property>
</Properties>
</file>